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CE93F">
      <w:pPr>
        <w:autoSpaceDE w:val="0"/>
        <w:autoSpaceDN w:val="0"/>
        <w:adjustRightInd w:val="0"/>
        <w:spacing w:line="520" w:lineRule="exact"/>
        <w:jc w:val="center"/>
        <w:outlineLvl w:val="1"/>
        <w:rPr>
          <w:rFonts w:hint="eastAsia" w:ascii="仿宋" w:hAnsi="仿宋" w:eastAsia="仿宋" w:cs="仿宋"/>
          <w:b w:val="0"/>
          <w:bCs w:val="0"/>
          <w:sz w:val="21"/>
          <w:szCs w:val="21"/>
          <w:highlight w:val="none"/>
          <w:lang w:eastAsia="zh-CN"/>
        </w:rPr>
      </w:pPr>
      <w:bookmarkStart w:id="0" w:name="_Toc32513"/>
      <w:bookmarkStart w:id="1" w:name="_Toc2071"/>
      <w:r>
        <w:rPr>
          <w:rFonts w:hint="eastAsia" w:ascii="仿宋" w:hAnsi="仿宋" w:eastAsia="仿宋" w:cs="仿宋"/>
          <w:b w:val="0"/>
          <w:bCs w:val="0"/>
          <w:sz w:val="21"/>
          <w:szCs w:val="21"/>
          <w:highlight w:val="none"/>
          <w:lang w:eastAsia="zh-CN"/>
        </w:rPr>
        <w:t>（</w:t>
      </w:r>
      <w:r>
        <w:rPr>
          <w:rFonts w:hint="eastAsia" w:ascii="仿宋" w:hAnsi="仿宋" w:eastAsia="仿宋" w:cs="仿宋"/>
          <w:b w:val="0"/>
          <w:bCs w:val="0"/>
          <w:sz w:val="21"/>
          <w:szCs w:val="21"/>
          <w:highlight w:val="none"/>
          <w:lang w:val="en-US" w:eastAsia="zh-CN"/>
        </w:rPr>
        <w:t>合同格式仅供参考，具体以采购人签订为准</w:t>
      </w:r>
      <w:r>
        <w:rPr>
          <w:rFonts w:hint="eastAsia" w:ascii="仿宋" w:hAnsi="仿宋" w:eastAsia="仿宋" w:cs="仿宋"/>
          <w:b w:val="0"/>
          <w:bCs w:val="0"/>
          <w:sz w:val="21"/>
          <w:szCs w:val="21"/>
          <w:highlight w:val="none"/>
          <w:lang w:eastAsia="zh-CN"/>
        </w:rPr>
        <w:t>）</w:t>
      </w:r>
    </w:p>
    <w:p w14:paraId="6612EBE3">
      <w:pPr>
        <w:autoSpaceDE w:val="0"/>
        <w:autoSpaceDN w:val="0"/>
        <w:adjustRightInd w:val="0"/>
        <w:spacing w:line="520" w:lineRule="exact"/>
        <w:jc w:val="center"/>
        <w:outlineLvl w:val="1"/>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采购合同</w:t>
      </w:r>
    </w:p>
    <w:p w14:paraId="7CA13CD4">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outlineLvl w:val="1"/>
        <w:rPr>
          <w:rFonts w:hint="eastAsia" w:ascii="仿宋" w:hAnsi="仿宋" w:eastAsia="仿宋" w:cs="仿宋"/>
          <w:sz w:val="21"/>
          <w:szCs w:val="21"/>
        </w:rPr>
      </w:pPr>
      <w:r>
        <w:rPr>
          <w:rFonts w:hint="eastAsia" w:ascii="仿宋" w:hAnsi="仿宋" w:eastAsia="仿宋" w:cs="仿宋"/>
          <w:sz w:val="21"/>
          <w:szCs w:val="21"/>
          <w:lang w:val="zh-CN"/>
        </w:rPr>
        <w:t>采购人：</w:t>
      </w:r>
      <w:bookmarkEnd w:id="0"/>
      <w:bookmarkEnd w:id="1"/>
      <w:r>
        <w:rPr>
          <w:rFonts w:hint="eastAsia" w:ascii="仿宋" w:hAnsi="仿宋" w:eastAsia="仿宋" w:cs="仿宋"/>
          <w:sz w:val="21"/>
          <w:szCs w:val="21"/>
          <w:u w:val="single"/>
        </w:rPr>
        <w:t>西安市阎良区农业技术推广中心</w:t>
      </w:r>
    </w:p>
    <w:p w14:paraId="77B719B8">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zh-CN"/>
        </w:rPr>
        <w:t>供应商：</w:t>
      </w:r>
      <w:r>
        <w:rPr>
          <w:rFonts w:hint="eastAsia" w:ascii="仿宋" w:hAnsi="仿宋" w:eastAsia="仿宋" w:cs="仿宋"/>
          <w:sz w:val="21"/>
          <w:szCs w:val="21"/>
          <w:u w:val="single"/>
          <w:lang w:val="en-US" w:eastAsia="zh-CN"/>
        </w:rPr>
        <w:t xml:space="preserve">                            </w:t>
      </w:r>
    </w:p>
    <w:p w14:paraId="407FFA1D">
      <w:pPr>
        <w:keepLines w:val="0"/>
        <w:pageBreakBefore w:val="0"/>
        <w:widowControl w:val="0"/>
        <w:kinsoku/>
        <w:wordWrap/>
        <w:overflowPunct/>
        <w:topLinePunct w:val="0"/>
        <w:bidi w:val="0"/>
        <w:adjustRightInd w:val="0"/>
        <w:snapToGrid w:val="0"/>
        <w:spacing w:line="600" w:lineRule="exact"/>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根据《中华人民共和国民法典》及其他有关法律、法规，遵循平等、自愿、公平和诚信的原则，双方就下述项目范围与相关服务事项协商一致，订立本合同，</w:t>
      </w:r>
      <w:r>
        <w:rPr>
          <w:rFonts w:hint="eastAsia" w:ascii="仿宋" w:hAnsi="仿宋" w:eastAsia="仿宋" w:cs="仿宋"/>
          <w:sz w:val="21"/>
          <w:szCs w:val="21"/>
          <w:lang w:val="zh-CN"/>
        </w:rPr>
        <w:t>并共同遵守如下条款：</w:t>
      </w:r>
    </w:p>
    <w:p w14:paraId="13872355">
      <w:pPr>
        <w:pStyle w:val="4"/>
        <w:keepLines w:val="0"/>
        <w:pageBreakBefore w:val="0"/>
        <w:widowControl w:val="0"/>
        <w:tabs>
          <w:tab w:val="center" w:pos="4140"/>
          <w:tab w:val="right" w:pos="8300"/>
          <w:tab w:val="clear" w:pos="4153"/>
          <w:tab w:val="clear" w:pos="8306"/>
        </w:tabs>
        <w:kinsoku/>
        <w:wordWrap/>
        <w:overflowPunct/>
        <w:topLinePunct w:val="0"/>
        <w:bidi w:val="0"/>
        <w:spacing w:line="600" w:lineRule="exact"/>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rPr>
        <w:t>第一条 服务期限</w:t>
      </w:r>
      <w:r>
        <w:rPr>
          <w:rFonts w:hint="eastAsia" w:ascii="仿宋" w:hAnsi="仿宋" w:eastAsia="仿宋" w:cs="仿宋"/>
          <w:sz w:val="21"/>
          <w:szCs w:val="21"/>
          <w:lang w:val="zh-CN"/>
        </w:rPr>
        <w:t>：</w:t>
      </w:r>
      <w:r>
        <w:rPr>
          <w:rFonts w:hint="eastAsia" w:ascii="仿宋" w:hAnsi="仿宋" w:eastAsia="仿宋" w:cs="仿宋"/>
          <w:sz w:val="21"/>
          <w:szCs w:val="21"/>
        </w:rPr>
        <w:t>合同签订之日至2026年10月20日前。 。</w:t>
      </w:r>
    </w:p>
    <w:p w14:paraId="6F131DB2">
      <w:pPr>
        <w:pStyle w:val="4"/>
        <w:keepLines w:val="0"/>
        <w:pageBreakBefore w:val="0"/>
        <w:widowControl w:val="0"/>
        <w:tabs>
          <w:tab w:val="center" w:pos="4140"/>
          <w:tab w:val="right" w:pos="8300"/>
          <w:tab w:val="clear" w:pos="4153"/>
          <w:tab w:val="clear" w:pos="8306"/>
        </w:tabs>
        <w:kinsoku/>
        <w:wordWrap/>
        <w:overflowPunct/>
        <w:topLinePunct w:val="0"/>
        <w:bidi w:val="0"/>
        <w:spacing w:line="600" w:lineRule="exact"/>
        <w:ind w:firstLine="422" w:firstLineChars="200"/>
        <w:textAlignment w:val="auto"/>
        <w:rPr>
          <w:rFonts w:hint="eastAsia" w:ascii="仿宋" w:hAnsi="仿宋" w:eastAsia="仿宋" w:cs="仿宋"/>
          <w:bCs/>
          <w:sz w:val="21"/>
          <w:szCs w:val="21"/>
        </w:rPr>
      </w:pPr>
      <w:r>
        <w:rPr>
          <w:rFonts w:hint="eastAsia" w:ascii="仿宋" w:hAnsi="仿宋" w:eastAsia="仿宋" w:cs="仿宋"/>
          <w:b/>
          <w:bCs/>
          <w:sz w:val="21"/>
          <w:szCs w:val="21"/>
        </w:rPr>
        <w:t>第二条 服务地点：</w:t>
      </w:r>
      <w:r>
        <w:rPr>
          <w:rFonts w:hint="eastAsia" w:ascii="仿宋" w:hAnsi="仿宋" w:eastAsia="仿宋" w:cs="仿宋"/>
          <w:bCs/>
          <w:sz w:val="21"/>
          <w:szCs w:val="21"/>
        </w:rPr>
        <w:t>采购人指定地点。</w:t>
      </w:r>
    </w:p>
    <w:p w14:paraId="598E56DD">
      <w:pPr>
        <w:pStyle w:val="5"/>
        <w:keepLines w:val="0"/>
        <w:pageBreakBefore w:val="0"/>
        <w:widowControl w:val="0"/>
        <w:pBdr>
          <w:bottom w:val="none" w:color="auto" w:sz="0" w:space="0"/>
        </w:pBdr>
        <w:tabs>
          <w:tab w:val="center" w:pos="4140"/>
          <w:tab w:val="center" w:pos="4535"/>
          <w:tab w:val="right" w:pos="8300"/>
          <w:tab w:val="clear" w:pos="4153"/>
          <w:tab w:val="clear" w:pos="8306"/>
        </w:tabs>
        <w:kinsoku/>
        <w:wordWrap/>
        <w:overflowPunct/>
        <w:topLinePunct w:val="0"/>
        <w:bidi w:val="0"/>
        <w:spacing w:line="600" w:lineRule="exact"/>
        <w:ind w:right="28" w:firstLine="422" w:firstLineChars="200"/>
        <w:jc w:val="both"/>
        <w:textAlignment w:val="auto"/>
        <w:rPr>
          <w:rFonts w:hint="eastAsia" w:ascii="仿宋" w:hAnsi="仿宋" w:eastAsia="仿宋" w:cs="仿宋"/>
          <w:kern w:val="2"/>
          <w:sz w:val="21"/>
          <w:szCs w:val="21"/>
          <w:lang w:val="en-US" w:eastAsia="zh-CN" w:bidi="ar-SA"/>
        </w:rPr>
      </w:pPr>
      <w:r>
        <w:rPr>
          <w:rFonts w:hint="eastAsia" w:ascii="仿宋" w:hAnsi="仿宋" w:eastAsia="仿宋" w:cs="仿宋"/>
          <w:b/>
          <w:bCs/>
          <w:kern w:val="2"/>
          <w:sz w:val="21"/>
          <w:szCs w:val="21"/>
          <w:lang w:val="zh-CN" w:eastAsia="zh-CN" w:bidi="ar-SA"/>
        </w:rPr>
        <w:t>第</w:t>
      </w:r>
      <w:r>
        <w:rPr>
          <w:rFonts w:hint="eastAsia" w:ascii="仿宋" w:hAnsi="仿宋" w:eastAsia="仿宋" w:cs="仿宋"/>
          <w:b/>
          <w:bCs/>
          <w:kern w:val="2"/>
          <w:sz w:val="21"/>
          <w:szCs w:val="21"/>
          <w:lang w:val="en-US" w:eastAsia="zh-CN" w:bidi="ar-SA"/>
        </w:rPr>
        <w:t>三</w:t>
      </w:r>
      <w:r>
        <w:rPr>
          <w:rFonts w:hint="eastAsia" w:ascii="仿宋" w:hAnsi="仿宋" w:eastAsia="仿宋" w:cs="仿宋"/>
          <w:b/>
          <w:bCs/>
          <w:kern w:val="2"/>
          <w:sz w:val="21"/>
          <w:szCs w:val="21"/>
          <w:lang w:val="zh-CN" w:eastAsia="zh-CN" w:bidi="ar-SA"/>
        </w:rPr>
        <w:t>条</w:t>
      </w:r>
      <w:r>
        <w:rPr>
          <w:rFonts w:hint="eastAsia" w:ascii="仿宋" w:hAnsi="仿宋" w:eastAsia="仿宋" w:cs="仿宋"/>
          <w:b/>
          <w:bCs/>
          <w:kern w:val="2"/>
          <w:sz w:val="21"/>
          <w:szCs w:val="21"/>
          <w:lang w:val="en-US" w:eastAsia="zh-CN" w:bidi="ar-SA"/>
        </w:rPr>
        <w:t>服务内容：</w:t>
      </w:r>
      <w:r>
        <w:rPr>
          <w:rFonts w:hint="eastAsia" w:ascii="仿宋" w:hAnsi="仿宋" w:eastAsia="仿宋" w:cs="仿宋"/>
          <w:kern w:val="2"/>
          <w:sz w:val="21"/>
          <w:szCs w:val="21"/>
          <w:lang w:val="en-US" w:eastAsia="zh-CN" w:bidi="ar-SA"/>
        </w:rPr>
        <w:t>实施粮食绿色高产高效“千亩示范方”，玉米、小麦各14个千亩示范方，共计28000亩，其中玉米14000亩、小麦14000亩。4月20日左右对小麦田实施一次以防治条锈病、赤霉病为主的小麦“一喷三防”；5月上旬开展一次以防治赤霉病、蚜虫为主的小麦中后期防治。7月玉米苗期使用杀虫剂、杀菌剂、沉降剂、叶面肥对玉米田开展一次病虫害防治和弱苗转壮；8月中下旬使用杀虫剂、杀菌剂、叶面肥开展杀虫、杀菌、促壮的“一喷多促”。</w:t>
      </w:r>
    </w:p>
    <w:tbl>
      <w:tblPr>
        <w:tblStyle w:val="7"/>
        <w:tblpPr w:leftFromText="180" w:rightFromText="180" w:vertAnchor="text" w:horzAnchor="page" w:tblpX="1493" w:tblpY="630"/>
        <w:tblOverlap w:val="never"/>
        <w:tblW w:w="91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914"/>
        <w:gridCol w:w="1179"/>
        <w:gridCol w:w="3471"/>
        <w:gridCol w:w="868"/>
      </w:tblGrid>
      <w:tr w14:paraId="1997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4046DBF0">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21"/>
                <w:szCs w:val="21"/>
              </w:rPr>
            </w:pPr>
            <w:r>
              <w:rPr>
                <w:rFonts w:hint="eastAsia" w:ascii="仿宋" w:hAnsi="仿宋" w:eastAsia="仿宋" w:cs="仿宋"/>
                <w:b/>
                <w:bCs/>
                <w:sz w:val="21"/>
                <w:szCs w:val="21"/>
              </w:rPr>
              <w:t>序号</w:t>
            </w:r>
          </w:p>
        </w:tc>
        <w:tc>
          <w:tcPr>
            <w:tcW w:w="2914" w:type="dxa"/>
            <w:vAlign w:val="center"/>
          </w:tcPr>
          <w:p w14:paraId="1F47935F">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21"/>
                <w:szCs w:val="21"/>
              </w:rPr>
            </w:pPr>
            <w:r>
              <w:rPr>
                <w:rFonts w:hint="eastAsia" w:ascii="仿宋" w:hAnsi="仿宋" w:eastAsia="仿宋" w:cs="仿宋"/>
                <w:b/>
                <w:bCs/>
                <w:sz w:val="21"/>
                <w:szCs w:val="21"/>
              </w:rPr>
              <w:t>内容</w:t>
            </w:r>
          </w:p>
        </w:tc>
        <w:tc>
          <w:tcPr>
            <w:tcW w:w="1179" w:type="dxa"/>
            <w:vAlign w:val="center"/>
          </w:tcPr>
          <w:p w14:paraId="6B617D22">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21"/>
                <w:szCs w:val="21"/>
              </w:rPr>
            </w:pPr>
            <w:r>
              <w:rPr>
                <w:rFonts w:hint="eastAsia" w:ascii="仿宋" w:hAnsi="仿宋" w:eastAsia="仿宋" w:cs="仿宋"/>
                <w:b/>
                <w:bCs/>
                <w:sz w:val="21"/>
                <w:szCs w:val="21"/>
              </w:rPr>
              <w:t>面积（亩）</w:t>
            </w:r>
          </w:p>
        </w:tc>
        <w:tc>
          <w:tcPr>
            <w:tcW w:w="3471" w:type="dxa"/>
            <w:vAlign w:val="center"/>
          </w:tcPr>
          <w:p w14:paraId="3C6C94CD">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21"/>
                <w:szCs w:val="21"/>
              </w:rPr>
            </w:pPr>
            <w:r>
              <w:rPr>
                <w:rFonts w:hint="eastAsia" w:ascii="仿宋" w:hAnsi="仿宋" w:eastAsia="仿宋" w:cs="仿宋"/>
                <w:b/>
                <w:bCs/>
                <w:sz w:val="21"/>
                <w:szCs w:val="21"/>
              </w:rPr>
              <w:t>技术要求</w:t>
            </w:r>
          </w:p>
        </w:tc>
        <w:tc>
          <w:tcPr>
            <w:tcW w:w="868" w:type="dxa"/>
            <w:vAlign w:val="center"/>
          </w:tcPr>
          <w:p w14:paraId="0F105F32">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21"/>
                <w:szCs w:val="21"/>
              </w:rPr>
            </w:pPr>
            <w:r>
              <w:rPr>
                <w:rFonts w:hint="eastAsia" w:ascii="仿宋" w:hAnsi="仿宋" w:eastAsia="仿宋" w:cs="仿宋"/>
                <w:b/>
                <w:bCs/>
                <w:sz w:val="21"/>
                <w:szCs w:val="21"/>
              </w:rPr>
              <w:t>备注</w:t>
            </w:r>
          </w:p>
        </w:tc>
      </w:tr>
      <w:tr w14:paraId="0EDE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0C93878E">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rPr>
            </w:pPr>
            <w:r>
              <w:rPr>
                <w:rFonts w:hint="eastAsia" w:ascii="仿宋" w:hAnsi="仿宋" w:eastAsia="仿宋" w:cs="仿宋"/>
                <w:sz w:val="21"/>
                <w:szCs w:val="21"/>
              </w:rPr>
              <w:t>1</w:t>
            </w:r>
          </w:p>
        </w:tc>
        <w:tc>
          <w:tcPr>
            <w:tcW w:w="2914" w:type="dxa"/>
            <w:vAlign w:val="center"/>
          </w:tcPr>
          <w:p w14:paraId="6E858BA6">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以防治小麦条锈病、茎基腐、赤霉病为主的小麦“一喷三防”</w:t>
            </w:r>
          </w:p>
        </w:tc>
        <w:tc>
          <w:tcPr>
            <w:tcW w:w="1179" w:type="dxa"/>
            <w:vAlign w:val="center"/>
          </w:tcPr>
          <w:p w14:paraId="09A137EC">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3D51B0D0">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5%高效氯氟氰菊酯微乳剂20ml/亩</w:t>
            </w:r>
          </w:p>
          <w:p w14:paraId="3A81627F">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200克/吡虫啉可溶液剂15ml/亩</w:t>
            </w:r>
          </w:p>
          <w:p w14:paraId="5E8CC452">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40%丙硫菌唑戊唑醇悬浮剂30ml/亩</w:t>
            </w:r>
          </w:p>
          <w:p w14:paraId="5070C499">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大量元素闪容磷钾功能肥50克/亩</w:t>
            </w:r>
          </w:p>
          <w:p w14:paraId="0CE7D501">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植保无人机飞防助剂10ml/亩</w:t>
            </w:r>
          </w:p>
        </w:tc>
        <w:tc>
          <w:tcPr>
            <w:tcW w:w="868" w:type="dxa"/>
            <w:vAlign w:val="center"/>
          </w:tcPr>
          <w:p w14:paraId="4F03D80B">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rPr>
            </w:pPr>
          </w:p>
        </w:tc>
      </w:tr>
      <w:tr w14:paraId="30C5F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7975C086">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2914" w:type="dxa"/>
            <w:vAlign w:val="center"/>
          </w:tcPr>
          <w:p w14:paraId="272A5EE8">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以防治小麦条锈病、茎基腐、赤霉病为主的小麦“一喷三防”作业</w:t>
            </w:r>
          </w:p>
        </w:tc>
        <w:tc>
          <w:tcPr>
            <w:tcW w:w="1179" w:type="dxa"/>
            <w:vAlign w:val="center"/>
          </w:tcPr>
          <w:p w14:paraId="08C2CF5E">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2DEBE1E1">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使用植保无人机喷洒作业</w:t>
            </w:r>
          </w:p>
        </w:tc>
        <w:tc>
          <w:tcPr>
            <w:tcW w:w="868" w:type="dxa"/>
            <w:vAlign w:val="center"/>
          </w:tcPr>
          <w:p w14:paraId="22B2BF46">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r w14:paraId="5DE80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3157A2B4">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c>
          <w:tcPr>
            <w:tcW w:w="2914" w:type="dxa"/>
            <w:vAlign w:val="center"/>
          </w:tcPr>
          <w:p w14:paraId="0CF7854B">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以防治小麦赤霉病、蚜虫为主、增粒重的小麦中后期防治</w:t>
            </w:r>
          </w:p>
        </w:tc>
        <w:tc>
          <w:tcPr>
            <w:tcW w:w="1179" w:type="dxa"/>
            <w:vAlign w:val="center"/>
          </w:tcPr>
          <w:p w14:paraId="577A697A">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0C0E80CE">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25%噻虫高氯氟悬浮剂20ml/亩</w:t>
            </w:r>
          </w:p>
          <w:p w14:paraId="1A180CB2">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40%丙硫菌唑戊唑醇悬浮剂30ml/亩</w:t>
            </w:r>
          </w:p>
          <w:p w14:paraId="493D35E8">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大量元素闪容磷钾功能肥50克/亩</w:t>
            </w:r>
          </w:p>
          <w:p w14:paraId="7C6BF1BE">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植保无人机飞防助剂10ml/亩</w:t>
            </w:r>
          </w:p>
          <w:p w14:paraId="5EAA6CD8">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腐殖酸型水溶肥50克/亩</w:t>
            </w:r>
          </w:p>
        </w:tc>
        <w:tc>
          <w:tcPr>
            <w:tcW w:w="868" w:type="dxa"/>
            <w:vAlign w:val="center"/>
          </w:tcPr>
          <w:p w14:paraId="6314DEBE">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r w14:paraId="37BA0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3A8107D7">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2914" w:type="dxa"/>
            <w:vAlign w:val="center"/>
          </w:tcPr>
          <w:p w14:paraId="398875C0">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以防治赤霉病、蚜虫为主的小麦中后期防治作业</w:t>
            </w:r>
          </w:p>
        </w:tc>
        <w:tc>
          <w:tcPr>
            <w:tcW w:w="1179" w:type="dxa"/>
            <w:vAlign w:val="center"/>
          </w:tcPr>
          <w:p w14:paraId="6747E533">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008BAE3A">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使用植保无人机喷洒作业</w:t>
            </w:r>
          </w:p>
        </w:tc>
        <w:tc>
          <w:tcPr>
            <w:tcW w:w="868" w:type="dxa"/>
            <w:vAlign w:val="center"/>
          </w:tcPr>
          <w:p w14:paraId="0669E2F7">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r w14:paraId="20CC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456BDD6C">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2914" w:type="dxa"/>
            <w:vAlign w:val="center"/>
          </w:tcPr>
          <w:p w14:paraId="1EEF67DD">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玉米苗期使用杀虫剂、杀菌剂、沉降剂、叶面肥对玉米田开展一次病虫害防治和弱苗转壮</w:t>
            </w:r>
          </w:p>
        </w:tc>
        <w:tc>
          <w:tcPr>
            <w:tcW w:w="1179" w:type="dxa"/>
            <w:vAlign w:val="center"/>
          </w:tcPr>
          <w:p w14:paraId="6FF74940">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2F89CA65">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5%甲维高氯氟水乳剂25ml/亩</w:t>
            </w:r>
          </w:p>
          <w:p w14:paraId="0C1086BE">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35%唑醚氟环唑悬浮剂30ml/亩</w:t>
            </w:r>
          </w:p>
          <w:p w14:paraId="748BC579">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大量元素闪容磷钾功能肥50克/亩</w:t>
            </w:r>
          </w:p>
          <w:p w14:paraId="6A7FA043">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350克/升液体氮肥50克/亩</w:t>
            </w:r>
          </w:p>
          <w:p w14:paraId="33CFBCE8">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植保无人机飞防助剂10ml/亩</w:t>
            </w:r>
          </w:p>
        </w:tc>
        <w:tc>
          <w:tcPr>
            <w:tcW w:w="868" w:type="dxa"/>
            <w:vAlign w:val="center"/>
          </w:tcPr>
          <w:p w14:paraId="6B404C5B">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r w14:paraId="514D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71FBB5D1">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2914" w:type="dxa"/>
            <w:vAlign w:val="center"/>
          </w:tcPr>
          <w:p w14:paraId="37AA021C">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玉米苗期使用杀虫剂、杀菌剂、沉降剂、叶面肥对玉米田开展一次病虫害防治和弱苗转壮</w:t>
            </w:r>
            <w:r>
              <w:rPr>
                <w:rFonts w:hint="eastAsia" w:ascii="仿宋" w:hAnsi="仿宋" w:eastAsia="仿宋" w:cs="仿宋"/>
                <w:sz w:val="21"/>
                <w:szCs w:val="21"/>
                <w:lang w:val="en-US" w:eastAsia="zh-CN"/>
              </w:rPr>
              <w:t>作业</w:t>
            </w:r>
          </w:p>
        </w:tc>
        <w:tc>
          <w:tcPr>
            <w:tcW w:w="1179" w:type="dxa"/>
            <w:vAlign w:val="center"/>
          </w:tcPr>
          <w:p w14:paraId="02AE2FDC">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3015A137">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使用植保无人机喷洒作业</w:t>
            </w:r>
          </w:p>
        </w:tc>
        <w:tc>
          <w:tcPr>
            <w:tcW w:w="868" w:type="dxa"/>
            <w:vAlign w:val="center"/>
          </w:tcPr>
          <w:p w14:paraId="303134F8">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r w14:paraId="05FAF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551CE99A">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c>
          <w:tcPr>
            <w:tcW w:w="2914" w:type="dxa"/>
            <w:vAlign w:val="center"/>
          </w:tcPr>
          <w:p w14:paraId="007B93A9">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玉米中后期使用杀虫剂、杀菌剂、叶面肥开展杀虫、杀菌、促壮的“一喷多促”</w:t>
            </w:r>
          </w:p>
        </w:tc>
        <w:tc>
          <w:tcPr>
            <w:tcW w:w="1179" w:type="dxa"/>
            <w:vAlign w:val="center"/>
          </w:tcPr>
          <w:p w14:paraId="10316BC1">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5F564FA6">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5%甲维高氯氟水乳剂25ml/亩</w:t>
            </w:r>
          </w:p>
          <w:p w14:paraId="09275024">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35%唑醚氟环唑悬浮剂30ml/亩</w:t>
            </w:r>
          </w:p>
          <w:p w14:paraId="7CCF9217">
            <w:pPr>
              <w:pStyle w:val="2"/>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大量元素闪容磷钾功能肥50克/亩</w:t>
            </w:r>
          </w:p>
          <w:p w14:paraId="4D28DB72">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腐殖酸型水溶肥50克/亩</w:t>
            </w:r>
          </w:p>
          <w:p w14:paraId="7EA58C15">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植保无人机飞防助剂10ml/亩</w:t>
            </w:r>
          </w:p>
        </w:tc>
        <w:tc>
          <w:tcPr>
            <w:tcW w:w="868" w:type="dxa"/>
            <w:vAlign w:val="center"/>
          </w:tcPr>
          <w:p w14:paraId="3CF3247D">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r w14:paraId="2B4BE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6D4AD01B">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2914" w:type="dxa"/>
            <w:vAlign w:val="center"/>
          </w:tcPr>
          <w:p w14:paraId="0901E793">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玉米中后期使用杀虫剂、杀菌剂、叶面肥开展杀虫、杀菌、促壮的“一喷多促”作业</w:t>
            </w:r>
          </w:p>
        </w:tc>
        <w:tc>
          <w:tcPr>
            <w:tcW w:w="1179" w:type="dxa"/>
            <w:vAlign w:val="center"/>
          </w:tcPr>
          <w:p w14:paraId="7FDC8FB3">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14000</w:t>
            </w:r>
          </w:p>
        </w:tc>
        <w:tc>
          <w:tcPr>
            <w:tcW w:w="3471" w:type="dxa"/>
            <w:vAlign w:val="center"/>
          </w:tcPr>
          <w:p w14:paraId="53C85E66">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使用植保无人机喷洒作业</w:t>
            </w:r>
          </w:p>
        </w:tc>
        <w:tc>
          <w:tcPr>
            <w:tcW w:w="868" w:type="dxa"/>
            <w:vAlign w:val="center"/>
          </w:tcPr>
          <w:p w14:paraId="4B0E1ABD">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1"/>
                <w:szCs w:val="21"/>
                <w:lang w:val="en-US" w:eastAsia="zh-CN"/>
              </w:rPr>
            </w:pPr>
          </w:p>
        </w:tc>
      </w:tr>
    </w:tbl>
    <w:p w14:paraId="03358953">
      <w:pPr>
        <w:keepLines w:val="0"/>
        <w:pageBreakBefore w:val="0"/>
        <w:widowControl w:val="0"/>
        <w:numPr>
          <w:ilvl w:val="0"/>
          <w:numId w:val="0"/>
        </w:numPr>
        <w:kinsoku/>
        <w:wordWrap/>
        <w:overflowPunct/>
        <w:topLinePunct w:val="0"/>
        <w:bidi w:val="0"/>
        <w:spacing w:line="600" w:lineRule="exact"/>
        <w:ind w:firstLine="420" w:firstLineChars="200"/>
        <w:textAlignment w:val="auto"/>
        <w:rPr>
          <w:rFonts w:hint="eastAsia" w:ascii="仿宋" w:hAnsi="仿宋" w:eastAsia="仿宋" w:cs="仿宋"/>
          <w:b w:val="0"/>
          <w:bCs w:val="0"/>
          <w:sz w:val="21"/>
          <w:szCs w:val="21"/>
          <w:lang w:val="zh-CN"/>
        </w:rPr>
      </w:pPr>
      <w:r>
        <w:rPr>
          <w:rFonts w:hint="eastAsia" w:ascii="仿宋" w:hAnsi="仿宋" w:eastAsia="仿宋" w:cs="仿宋"/>
          <w:b w:val="0"/>
          <w:bCs w:val="0"/>
          <w:sz w:val="21"/>
          <w:szCs w:val="21"/>
          <w:lang w:val="zh-CN"/>
        </w:rPr>
        <w:t>小麦杀虫、杀菌、增产（一喷三防），小麦防治条锈病及赤霉病防效均需达到85%以上，玉米玉米苗期使用杀虫剂、杀菌剂、沉降剂、叶面肥对玉米田开展一次病虫害防治和弱苗转壮及一喷多促防效均需达到85%以上。</w:t>
      </w:r>
    </w:p>
    <w:p w14:paraId="7894F1D5">
      <w:pPr>
        <w:keepLines w:val="0"/>
        <w:pageBreakBefore w:val="0"/>
        <w:widowControl w:val="0"/>
        <w:numPr>
          <w:ilvl w:val="0"/>
          <w:numId w:val="0"/>
        </w:numPr>
        <w:kinsoku/>
        <w:wordWrap/>
        <w:overflowPunct/>
        <w:topLinePunct w:val="0"/>
        <w:bidi w:val="0"/>
        <w:spacing w:line="600" w:lineRule="exact"/>
        <w:ind w:firstLine="420" w:firstLineChars="200"/>
        <w:textAlignment w:val="auto"/>
        <w:rPr>
          <w:rFonts w:hint="eastAsia" w:ascii="仿宋" w:hAnsi="仿宋" w:eastAsia="仿宋" w:cs="仿宋"/>
          <w:b w:val="0"/>
          <w:bCs w:val="0"/>
          <w:sz w:val="21"/>
          <w:szCs w:val="21"/>
          <w:lang w:val="zh-CN"/>
        </w:rPr>
      </w:pPr>
      <w:r>
        <w:rPr>
          <w:rFonts w:hint="eastAsia" w:ascii="仿宋" w:hAnsi="仿宋" w:eastAsia="仿宋" w:cs="仿宋"/>
          <w:b w:val="0"/>
          <w:bCs w:val="0"/>
          <w:sz w:val="21"/>
          <w:szCs w:val="21"/>
          <w:lang w:val="zh-CN"/>
        </w:rPr>
        <w:t>项目作业以植保无人机防治，要求参与企业具备相关资质、专业器械及机手证书。</w:t>
      </w:r>
    </w:p>
    <w:p w14:paraId="780A7957">
      <w:pPr>
        <w:keepLines w:val="0"/>
        <w:pageBreakBefore w:val="0"/>
        <w:widowControl w:val="0"/>
        <w:kinsoku/>
        <w:wordWrap/>
        <w:overflowPunct/>
        <w:topLinePunct w:val="0"/>
        <w:bidi w:val="0"/>
        <w:spacing w:line="600" w:lineRule="exact"/>
        <w:ind w:firstLine="422" w:firstLineChars="200"/>
        <w:textAlignment w:val="auto"/>
        <w:rPr>
          <w:rFonts w:hint="eastAsia" w:ascii="仿宋" w:hAnsi="仿宋" w:eastAsia="仿宋" w:cs="仿宋"/>
          <w:b/>
          <w:bCs/>
          <w:sz w:val="21"/>
          <w:szCs w:val="21"/>
          <w:lang w:val="zh-CN"/>
        </w:rPr>
      </w:pPr>
      <w:r>
        <w:rPr>
          <w:rFonts w:hint="eastAsia" w:ascii="仿宋" w:hAnsi="仿宋" w:eastAsia="仿宋" w:cs="仿宋"/>
          <w:b/>
          <w:bCs/>
          <w:sz w:val="21"/>
          <w:szCs w:val="21"/>
          <w:lang w:val="zh-CN"/>
        </w:rPr>
        <w:t>第</w:t>
      </w:r>
      <w:r>
        <w:rPr>
          <w:rFonts w:hint="eastAsia" w:ascii="仿宋" w:hAnsi="仿宋" w:eastAsia="仿宋" w:cs="仿宋"/>
          <w:b/>
          <w:bCs/>
          <w:sz w:val="21"/>
          <w:szCs w:val="21"/>
        </w:rPr>
        <w:t>四</w:t>
      </w:r>
      <w:r>
        <w:rPr>
          <w:rFonts w:hint="eastAsia" w:ascii="仿宋" w:hAnsi="仿宋" w:eastAsia="仿宋" w:cs="仿宋"/>
          <w:b/>
          <w:bCs/>
          <w:sz w:val="21"/>
          <w:szCs w:val="21"/>
          <w:lang w:val="zh-CN"/>
        </w:rPr>
        <w:t>条 合同总价款</w:t>
      </w:r>
    </w:p>
    <w:p w14:paraId="588C95DE">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1、本合同总价为人民币大写：</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val="zh-CN"/>
        </w:rPr>
        <w:t>，分项价款在“</w:t>
      </w:r>
      <w:r>
        <w:rPr>
          <w:rFonts w:hint="eastAsia" w:ascii="仿宋" w:hAnsi="仿宋" w:eastAsia="仿宋" w:cs="仿宋"/>
          <w:sz w:val="21"/>
          <w:szCs w:val="21"/>
        </w:rPr>
        <w:t>开标</w:t>
      </w:r>
      <w:r>
        <w:rPr>
          <w:rFonts w:hint="eastAsia" w:ascii="仿宋" w:hAnsi="仿宋" w:eastAsia="仿宋" w:cs="仿宋"/>
          <w:sz w:val="21"/>
          <w:szCs w:val="21"/>
          <w:lang w:val="zh-CN"/>
        </w:rPr>
        <w:t>报价一览表”中有明确规定。</w:t>
      </w:r>
    </w:p>
    <w:p w14:paraId="65273956">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rPr>
        <w:t>2、</w:t>
      </w:r>
      <w:r>
        <w:rPr>
          <w:rFonts w:hint="eastAsia" w:ascii="仿宋" w:hAnsi="仿宋" w:eastAsia="仿宋" w:cs="仿宋"/>
          <w:sz w:val="21"/>
          <w:szCs w:val="21"/>
          <w:lang w:val="zh-CN"/>
        </w:rPr>
        <w:t>合同总价即成交价，为一次性报价，不受市场价变化或实际工作量变化的影响。合同价格为含税价，供应商（成交供应商）提供货物（服务）所发生的一切税（包括增值税）费等都已包含于合同价款中。</w:t>
      </w:r>
    </w:p>
    <w:p w14:paraId="795CBB7E">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3、本合同执行期间合同总价不变，甲方无须另向乙方支付本合同规定之外的其他任何费用。</w:t>
      </w:r>
    </w:p>
    <w:p w14:paraId="265F2BB8">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2" w:name="_Toc25178"/>
      <w:bookmarkStart w:id="3" w:name="_Toc29098"/>
      <w:bookmarkStart w:id="4" w:name="_Toc28050"/>
      <w:bookmarkStart w:id="5" w:name="_Toc9270"/>
      <w:r>
        <w:rPr>
          <w:rFonts w:hint="eastAsia" w:ascii="仿宋" w:hAnsi="仿宋" w:eastAsia="仿宋" w:cs="仿宋"/>
          <w:b/>
          <w:bCs/>
          <w:sz w:val="21"/>
          <w:szCs w:val="21"/>
          <w:lang w:val="zh-CN"/>
        </w:rPr>
        <w:t>第</w:t>
      </w:r>
      <w:r>
        <w:rPr>
          <w:rFonts w:hint="eastAsia" w:ascii="仿宋" w:hAnsi="仿宋" w:eastAsia="仿宋" w:cs="仿宋"/>
          <w:b/>
          <w:bCs/>
          <w:sz w:val="21"/>
          <w:szCs w:val="21"/>
        </w:rPr>
        <w:t>五</w:t>
      </w:r>
      <w:r>
        <w:rPr>
          <w:rFonts w:hint="eastAsia" w:ascii="仿宋" w:hAnsi="仿宋" w:eastAsia="仿宋" w:cs="仿宋"/>
          <w:b/>
          <w:bCs/>
          <w:sz w:val="21"/>
          <w:szCs w:val="21"/>
          <w:lang w:val="zh-CN"/>
        </w:rPr>
        <w:t>条  付款方式及时间</w:t>
      </w:r>
      <w:bookmarkEnd w:id="2"/>
      <w:bookmarkEnd w:id="3"/>
      <w:bookmarkEnd w:id="4"/>
      <w:bookmarkEnd w:id="5"/>
    </w:p>
    <w:p w14:paraId="15839FA1">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bookmarkStart w:id="6" w:name="_Toc17490"/>
      <w:bookmarkStart w:id="7" w:name="_Toc400"/>
      <w:bookmarkStart w:id="8" w:name="_Toc23564"/>
      <w:r>
        <w:rPr>
          <w:rFonts w:hint="eastAsia" w:ascii="仿宋" w:hAnsi="仿宋" w:eastAsia="仿宋" w:cs="仿宋"/>
          <w:sz w:val="21"/>
          <w:szCs w:val="21"/>
          <w:lang w:val="zh-CN"/>
        </w:rPr>
        <w:t>1、付款方式：无预付款，该项目验收完成后，及时全额支付。</w:t>
      </w:r>
    </w:p>
    <w:p w14:paraId="4925720A">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2、支付方式：银行转账，供应商在接受付款前开具等额发票给甲方。</w:t>
      </w:r>
    </w:p>
    <w:p w14:paraId="63A36887">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9" w:name="_Toc18419"/>
      <w:r>
        <w:rPr>
          <w:rFonts w:hint="eastAsia" w:ascii="仿宋" w:hAnsi="仿宋" w:eastAsia="仿宋" w:cs="仿宋"/>
          <w:b/>
          <w:bCs/>
          <w:sz w:val="21"/>
          <w:szCs w:val="21"/>
          <w:lang w:val="zh-CN"/>
        </w:rPr>
        <w:t>第</w:t>
      </w:r>
      <w:r>
        <w:rPr>
          <w:rFonts w:hint="eastAsia" w:ascii="仿宋" w:hAnsi="仿宋" w:eastAsia="仿宋" w:cs="仿宋"/>
          <w:b/>
          <w:bCs/>
          <w:sz w:val="21"/>
          <w:szCs w:val="21"/>
        </w:rPr>
        <w:t>六</w:t>
      </w:r>
      <w:r>
        <w:rPr>
          <w:rFonts w:hint="eastAsia" w:ascii="仿宋" w:hAnsi="仿宋" w:eastAsia="仿宋" w:cs="仿宋"/>
          <w:b/>
          <w:bCs/>
          <w:sz w:val="21"/>
          <w:szCs w:val="21"/>
          <w:lang w:val="zh-CN"/>
        </w:rPr>
        <w:t>条  知识产权</w:t>
      </w:r>
      <w:bookmarkEnd w:id="6"/>
      <w:bookmarkEnd w:id="7"/>
      <w:bookmarkEnd w:id="8"/>
      <w:bookmarkEnd w:id="9"/>
    </w:p>
    <w:p w14:paraId="237BC415">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rPr>
        <w:t>投标人</w:t>
      </w:r>
      <w:r>
        <w:rPr>
          <w:rFonts w:hint="eastAsia" w:ascii="仿宋" w:hAnsi="仿宋" w:eastAsia="仿宋" w:cs="仿宋"/>
          <w:sz w:val="21"/>
          <w:szCs w:val="21"/>
          <w:lang w:val="zh-CN"/>
        </w:rPr>
        <w:t>应保证技术服务不会出现因第三方提出侵犯其专利权、商标权或其它知识产权而引发法律或经济纠纷，否则由</w:t>
      </w:r>
      <w:r>
        <w:rPr>
          <w:rFonts w:hint="eastAsia" w:ascii="仿宋" w:hAnsi="仿宋" w:eastAsia="仿宋" w:cs="仿宋"/>
          <w:sz w:val="21"/>
          <w:szCs w:val="21"/>
        </w:rPr>
        <w:t>投标人</w:t>
      </w:r>
      <w:r>
        <w:rPr>
          <w:rFonts w:hint="eastAsia" w:ascii="仿宋" w:hAnsi="仿宋" w:eastAsia="仿宋" w:cs="仿宋"/>
          <w:sz w:val="21"/>
          <w:szCs w:val="21"/>
          <w:lang w:val="zh-CN"/>
        </w:rPr>
        <w:t>承担全部责任。任何被</w:t>
      </w:r>
      <w:r>
        <w:rPr>
          <w:rFonts w:hint="eastAsia" w:ascii="仿宋" w:hAnsi="仿宋" w:eastAsia="仿宋" w:cs="仿宋"/>
          <w:sz w:val="21"/>
          <w:szCs w:val="21"/>
        </w:rPr>
        <w:t>投标人</w:t>
      </w:r>
      <w:r>
        <w:rPr>
          <w:rFonts w:hint="eastAsia" w:ascii="仿宋" w:hAnsi="仿宋" w:eastAsia="仿宋" w:cs="仿宋"/>
          <w:sz w:val="21"/>
          <w:szCs w:val="21"/>
          <w:lang w:val="zh-CN"/>
        </w:rPr>
        <w:t>用于未经授权的商业目的行为所造成的违约或侵权责任由供应商承但。</w:t>
      </w:r>
    </w:p>
    <w:p w14:paraId="5DBF458E">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10" w:name="_Toc20245"/>
      <w:bookmarkStart w:id="11" w:name="_Toc30077"/>
      <w:bookmarkStart w:id="12" w:name="_Toc12958"/>
      <w:bookmarkStart w:id="13" w:name="_Toc3049"/>
      <w:r>
        <w:rPr>
          <w:rFonts w:hint="eastAsia" w:ascii="仿宋" w:hAnsi="仿宋" w:eastAsia="仿宋" w:cs="仿宋"/>
          <w:b/>
          <w:bCs/>
          <w:sz w:val="21"/>
          <w:szCs w:val="21"/>
          <w:lang w:val="zh-CN"/>
        </w:rPr>
        <w:t>第</w:t>
      </w:r>
      <w:r>
        <w:rPr>
          <w:rFonts w:hint="eastAsia" w:ascii="仿宋" w:hAnsi="仿宋" w:eastAsia="仿宋" w:cs="仿宋"/>
          <w:b/>
          <w:bCs/>
          <w:sz w:val="21"/>
          <w:szCs w:val="21"/>
        </w:rPr>
        <w:t>七</w:t>
      </w:r>
      <w:r>
        <w:rPr>
          <w:rFonts w:hint="eastAsia" w:ascii="仿宋" w:hAnsi="仿宋" w:eastAsia="仿宋" w:cs="仿宋"/>
          <w:b/>
          <w:bCs/>
          <w:sz w:val="21"/>
          <w:szCs w:val="21"/>
          <w:lang w:val="zh-CN"/>
        </w:rPr>
        <w:t>条  无产权瑕疵条款</w:t>
      </w:r>
      <w:bookmarkEnd w:id="10"/>
      <w:bookmarkEnd w:id="11"/>
      <w:bookmarkEnd w:id="12"/>
      <w:bookmarkEnd w:id="13"/>
    </w:p>
    <w:p w14:paraId="78474F2D">
      <w:pPr>
        <w:keepLines w:val="0"/>
        <w:pageBreakBefore w:val="0"/>
        <w:widowControl w:val="0"/>
        <w:kinsoku/>
        <w:wordWrap/>
        <w:overflowPunct/>
        <w:topLinePunct w:val="0"/>
        <w:bidi w:val="0"/>
        <w:spacing w:line="600" w:lineRule="exact"/>
        <w:ind w:firstLine="420" w:firstLineChars="200"/>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乙方保证所提供的服务的所有权完全属于乙方且无任何抵押、查封等产权瑕疵。如有产权瑕疵的，视为乙方违约。乙方应负担由此而产生的一切损失。</w:t>
      </w:r>
    </w:p>
    <w:p w14:paraId="3CA9CB89">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14" w:name="_Toc3035"/>
      <w:bookmarkStart w:id="15" w:name="_Toc30735"/>
      <w:bookmarkStart w:id="16" w:name="_Toc30311"/>
      <w:r>
        <w:rPr>
          <w:rFonts w:hint="eastAsia" w:ascii="仿宋" w:hAnsi="仿宋" w:eastAsia="仿宋" w:cs="仿宋"/>
          <w:b/>
          <w:bCs/>
          <w:sz w:val="21"/>
          <w:szCs w:val="21"/>
          <w:lang w:val="zh-CN"/>
        </w:rPr>
        <w:t>第</w:t>
      </w:r>
      <w:r>
        <w:rPr>
          <w:rFonts w:hint="eastAsia" w:ascii="仿宋" w:hAnsi="仿宋" w:eastAsia="仿宋" w:cs="仿宋"/>
          <w:b/>
          <w:bCs/>
          <w:sz w:val="21"/>
          <w:szCs w:val="21"/>
        </w:rPr>
        <w:t>八</w:t>
      </w:r>
      <w:r>
        <w:rPr>
          <w:rFonts w:hint="eastAsia" w:ascii="仿宋" w:hAnsi="仿宋" w:eastAsia="仿宋" w:cs="仿宋"/>
          <w:b/>
          <w:bCs/>
          <w:sz w:val="21"/>
          <w:szCs w:val="21"/>
          <w:lang w:val="zh-CN"/>
        </w:rPr>
        <w:t>条  甲方的权利和义务</w:t>
      </w:r>
      <w:bookmarkEnd w:id="14"/>
      <w:bookmarkEnd w:id="15"/>
      <w:bookmarkEnd w:id="16"/>
    </w:p>
    <w:p w14:paraId="3C64825F">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1、甲方有权对合同规定范围内乙方的服务行为进行监督和检查，拥有监管权。有权定期核对乙方提供服务所配备的人员数量。对甲方认为不合理的部分有权下达整改通知书，并要求乙方限期整改。</w:t>
      </w:r>
    </w:p>
    <w:p w14:paraId="3B74E10A">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2、甲方有权依据双方签订的考评办法对乙方提供的服务进行定期考评。</w:t>
      </w:r>
    </w:p>
    <w:p w14:paraId="173EDAA9">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rPr>
        <w:t>3</w:t>
      </w:r>
      <w:r>
        <w:rPr>
          <w:rFonts w:hint="eastAsia" w:ascii="仿宋" w:hAnsi="仿宋" w:eastAsia="仿宋" w:cs="仿宋"/>
          <w:sz w:val="21"/>
          <w:szCs w:val="21"/>
          <w:lang w:val="zh-CN"/>
        </w:rPr>
        <w:t>、甲方负责检查监督乙方管理工作的实施及制度的执行情况。</w:t>
      </w:r>
    </w:p>
    <w:p w14:paraId="5749CAEF">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4、甲方根据本合同规定，按时向乙方支付应付服务费用。</w:t>
      </w:r>
    </w:p>
    <w:p w14:paraId="18E14FB6">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5、在项目质量管理方面，甲方应给予乙方充分信任，不能过多干涉乙方专业范畴。</w:t>
      </w:r>
    </w:p>
    <w:p w14:paraId="0937906C">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rPr>
        <w:t>6</w:t>
      </w:r>
      <w:r>
        <w:rPr>
          <w:rFonts w:hint="eastAsia" w:ascii="仿宋" w:hAnsi="仿宋" w:eastAsia="仿宋" w:cs="仿宋"/>
          <w:sz w:val="21"/>
          <w:szCs w:val="21"/>
          <w:lang w:val="zh-CN"/>
        </w:rPr>
        <w:t>、国家法律、法规所规定由甲方承担的其它责任。</w:t>
      </w:r>
    </w:p>
    <w:p w14:paraId="3DE5FF70">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17" w:name="_Toc29488"/>
      <w:bookmarkStart w:id="18" w:name="_Toc14218"/>
      <w:bookmarkStart w:id="19" w:name="_Toc14306"/>
      <w:bookmarkStart w:id="20" w:name="_Toc20321"/>
      <w:r>
        <w:rPr>
          <w:rFonts w:hint="eastAsia" w:ascii="仿宋" w:hAnsi="仿宋" w:eastAsia="仿宋" w:cs="仿宋"/>
          <w:b/>
          <w:bCs/>
          <w:sz w:val="21"/>
          <w:szCs w:val="21"/>
          <w:lang w:val="zh-CN"/>
        </w:rPr>
        <w:t>第</w:t>
      </w:r>
      <w:r>
        <w:rPr>
          <w:rFonts w:hint="eastAsia" w:ascii="仿宋" w:hAnsi="仿宋" w:eastAsia="仿宋" w:cs="仿宋"/>
          <w:b/>
          <w:bCs/>
          <w:sz w:val="21"/>
          <w:szCs w:val="21"/>
        </w:rPr>
        <w:t>九</w:t>
      </w:r>
      <w:r>
        <w:rPr>
          <w:rFonts w:hint="eastAsia" w:ascii="仿宋" w:hAnsi="仿宋" w:eastAsia="仿宋" w:cs="仿宋"/>
          <w:b/>
          <w:bCs/>
          <w:sz w:val="21"/>
          <w:szCs w:val="21"/>
          <w:lang w:val="zh-CN"/>
        </w:rPr>
        <w:t>条  乙方的权利和义务</w:t>
      </w:r>
      <w:bookmarkEnd w:id="17"/>
      <w:bookmarkEnd w:id="18"/>
      <w:bookmarkEnd w:id="19"/>
      <w:bookmarkEnd w:id="20"/>
    </w:p>
    <w:p w14:paraId="278B6E0B">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1、对本合同规定的委托服务范围内的项目享有管理权及服务义务。</w:t>
      </w:r>
    </w:p>
    <w:p w14:paraId="1A93A625">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2、根据本合同的规定向甲方收取相关服务费用，并有权在本项目管理范围内管理及合理使用。</w:t>
      </w:r>
    </w:p>
    <w:p w14:paraId="5503CED4">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3、及时向甲方通告本项目服务范围内有关服务的重大事项，及时配合处理投诉。</w:t>
      </w:r>
    </w:p>
    <w:p w14:paraId="4829704C">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4、接受项目行业管理部门及政府有关部门的指导，接受甲方的监督。</w:t>
      </w:r>
    </w:p>
    <w:p w14:paraId="10BE0406">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5、国家法律、法规所规定由乙方承担的其它责任。</w:t>
      </w:r>
    </w:p>
    <w:p w14:paraId="5726D3B0">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21" w:name="_Toc15048"/>
      <w:bookmarkStart w:id="22" w:name="_Toc18240"/>
      <w:bookmarkStart w:id="23" w:name="_Toc2141"/>
      <w:bookmarkStart w:id="24" w:name="_Toc13632"/>
      <w:r>
        <w:rPr>
          <w:rFonts w:hint="eastAsia" w:ascii="仿宋" w:hAnsi="仿宋" w:eastAsia="仿宋" w:cs="仿宋"/>
          <w:b/>
          <w:bCs/>
          <w:sz w:val="21"/>
          <w:szCs w:val="21"/>
          <w:lang w:val="zh-CN"/>
        </w:rPr>
        <w:t>第十条  违约责任</w:t>
      </w:r>
      <w:bookmarkEnd w:id="21"/>
      <w:bookmarkEnd w:id="22"/>
      <w:bookmarkEnd w:id="23"/>
      <w:bookmarkEnd w:id="24"/>
    </w:p>
    <w:p w14:paraId="6AFA0955">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1、甲乙双方必须遵守本合同并执行合同中的各项规定，保证本合同的正常履行。</w:t>
      </w:r>
    </w:p>
    <w:p w14:paraId="34CDC3F8">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382559C">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25" w:name="_Toc16093"/>
      <w:bookmarkStart w:id="26" w:name="_Toc24538"/>
      <w:bookmarkStart w:id="27" w:name="_Toc1105"/>
      <w:bookmarkStart w:id="28" w:name="_Toc24792"/>
      <w:r>
        <w:rPr>
          <w:rFonts w:hint="eastAsia" w:ascii="仿宋" w:hAnsi="仿宋" w:eastAsia="仿宋" w:cs="仿宋"/>
          <w:b/>
          <w:bCs/>
          <w:sz w:val="21"/>
          <w:szCs w:val="21"/>
          <w:lang w:val="zh-CN"/>
        </w:rPr>
        <w:t>第十</w:t>
      </w:r>
      <w:r>
        <w:rPr>
          <w:rFonts w:hint="eastAsia" w:ascii="仿宋" w:hAnsi="仿宋" w:eastAsia="仿宋" w:cs="仿宋"/>
          <w:b/>
          <w:bCs/>
          <w:sz w:val="21"/>
          <w:szCs w:val="21"/>
        </w:rPr>
        <w:t>一</w:t>
      </w:r>
      <w:r>
        <w:rPr>
          <w:rFonts w:hint="eastAsia" w:ascii="仿宋" w:hAnsi="仿宋" w:eastAsia="仿宋" w:cs="仿宋"/>
          <w:b/>
          <w:bCs/>
          <w:sz w:val="21"/>
          <w:szCs w:val="21"/>
          <w:lang w:val="zh-CN"/>
        </w:rPr>
        <w:t>条保密</w:t>
      </w:r>
      <w:bookmarkEnd w:id="25"/>
      <w:bookmarkEnd w:id="26"/>
      <w:bookmarkEnd w:id="27"/>
      <w:bookmarkEnd w:id="28"/>
    </w:p>
    <w:p w14:paraId="116FDA12">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 xml:space="preserve"> 对工作中了解到的采购人的技术、机密等进行严格保密，不得向他人泄漏。本合同的解除或终止不免除供应商应承担的保密义务。</w:t>
      </w:r>
    </w:p>
    <w:p w14:paraId="3843DA4B">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sz w:val="21"/>
          <w:szCs w:val="21"/>
          <w:lang w:val="zh-CN"/>
        </w:rPr>
      </w:pPr>
      <w:bookmarkStart w:id="29" w:name="_Toc15081"/>
      <w:bookmarkStart w:id="30" w:name="_Toc26487"/>
      <w:bookmarkStart w:id="31" w:name="_Toc12146"/>
      <w:bookmarkStart w:id="32" w:name="_Toc26699"/>
      <w:r>
        <w:rPr>
          <w:rFonts w:hint="eastAsia" w:ascii="仿宋" w:hAnsi="仿宋" w:eastAsia="仿宋" w:cs="仿宋"/>
          <w:b/>
          <w:bCs/>
          <w:sz w:val="21"/>
          <w:szCs w:val="21"/>
          <w:lang w:val="zh-CN"/>
        </w:rPr>
        <w:t>第十</w:t>
      </w:r>
      <w:r>
        <w:rPr>
          <w:rFonts w:hint="eastAsia" w:ascii="仿宋" w:hAnsi="仿宋" w:eastAsia="仿宋" w:cs="仿宋"/>
          <w:b/>
          <w:bCs/>
          <w:sz w:val="21"/>
          <w:szCs w:val="21"/>
        </w:rPr>
        <w:t>二</w:t>
      </w:r>
      <w:r>
        <w:rPr>
          <w:rFonts w:hint="eastAsia" w:ascii="仿宋" w:hAnsi="仿宋" w:eastAsia="仿宋" w:cs="仿宋"/>
          <w:b/>
          <w:bCs/>
          <w:sz w:val="21"/>
          <w:szCs w:val="21"/>
          <w:lang w:val="zh-CN"/>
        </w:rPr>
        <w:t>条  不可抗力事件处理</w:t>
      </w:r>
      <w:bookmarkEnd w:id="29"/>
      <w:bookmarkEnd w:id="30"/>
      <w:bookmarkEnd w:id="31"/>
      <w:bookmarkEnd w:id="32"/>
    </w:p>
    <w:p w14:paraId="547CA9E5">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1、在合同有效期内，任何一方因不可抗力事件导致不能履行合同，则合同履行期可延长，其延长期与不可抗力影响期相同。</w:t>
      </w:r>
    </w:p>
    <w:p w14:paraId="7E86C45E">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2、不可抗力事件发生后，应立即通知对方，并寄送有关权威机构出具的证明。</w:t>
      </w:r>
    </w:p>
    <w:p w14:paraId="3FCFC840">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3、不可抗力事件延续7天以上，双方应通过友好协商，确定是否继续履行合同。</w:t>
      </w:r>
    </w:p>
    <w:p w14:paraId="139964AE">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33" w:name="_Toc16276"/>
      <w:bookmarkStart w:id="34" w:name="_Toc7029"/>
      <w:bookmarkStart w:id="35" w:name="_Toc7151"/>
      <w:bookmarkStart w:id="36" w:name="_Toc14370"/>
      <w:r>
        <w:rPr>
          <w:rFonts w:hint="eastAsia" w:ascii="仿宋" w:hAnsi="仿宋" w:eastAsia="仿宋" w:cs="仿宋"/>
          <w:b/>
          <w:bCs/>
          <w:sz w:val="21"/>
          <w:szCs w:val="21"/>
          <w:lang w:val="zh-CN"/>
        </w:rPr>
        <w:t>第十</w:t>
      </w:r>
      <w:r>
        <w:rPr>
          <w:rFonts w:hint="eastAsia" w:ascii="仿宋" w:hAnsi="仿宋" w:eastAsia="仿宋" w:cs="仿宋"/>
          <w:b/>
          <w:bCs/>
          <w:sz w:val="21"/>
          <w:szCs w:val="21"/>
        </w:rPr>
        <w:t>三</w:t>
      </w:r>
      <w:r>
        <w:rPr>
          <w:rFonts w:hint="eastAsia" w:ascii="仿宋" w:hAnsi="仿宋" w:eastAsia="仿宋" w:cs="仿宋"/>
          <w:b/>
          <w:bCs/>
          <w:sz w:val="21"/>
          <w:szCs w:val="21"/>
          <w:lang w:val="zh-CN"/>
        </w:rPr>
        <w:t>条  合同的变更和终止</w:t>
      </w:r>
      <w:bookmarkEnd w:id="33"/>
      <w:bookmarkEnd w:id="34"/>
      <w:bookmarkEnd w:id="35"/>
      <w:bookmarkEnd w:id="36"/>
    </w:p>
    <w:p w14:paraId="77602716">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合同一经签订，不得擅自变更、中止或者终止合同。对确需变更、调整或者中止、终止合同的，应按规定履行相应的手续。</w:t>
      </w:r>
    </w:p>
    <w:p w14:paraId="4C87FFE1">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37" w:name="_Toc2745"/>
      <w:bookmarkStart w:id="38" w:name="_Toc15533"/>
      <w:bookmarkStart w:id="39" w:name="_Toc20760"/>
      <w:bookmarkStart w:id="40" w:name="_Toc3850"/>
      <w:r>
        <w:rPr>
          <w:rFonts w:hint="eastAsia" w:ascii="仿宋" w:hAnsi="仿宋" w:eastAsia="仿宋" w:cs="仿宋"/>
          <w:b/>
          <w:bCs/>
          <w:sz w:val="21"/>
          <w:szCs w:val="21"/>
          <w:lang w:val="zh-CN"/>
        </w:rPr>
        <w:t>第十</w:t>
      </w:r>
      <w:r>
        <w:rPr>
          <w:rFonts w:hint="eastAsia" w:ascii="仿宋" w:hAnsi="仿宋" w:eastAsia="仿宋" w:cs="仿宋"/>
          <w:b/>
          <w:bCs/>
          <w:sz w:val="21"/>
          <w:szCs w:val="21"/>
        </w:rPr>
        <w:t>四</w:t>
      </w:r>
      <w:r>
        <w:rPr>
          <w:rFonts w:hint="eastAsia" w:ascii="仿宋" w:hAnsi="仿宋" w:eastAsia="仿宋" w:cs="仿宋"/>
          <w:b/>
          <w:bCs/>
          <w:sz w:val="21"/>
          <w:szCs w:val="21"/>
          <w:lang w:val="zh-CN"/>
        </w:rPr>
        <w:t>条  解决合同纠纷的方式</w:t>
      </w:r>
      <w:bookmarkEnd w:id="37"/>
      <w:bookmarkEnd w:id="38"/>
      <w:bookmarkEnd w:id="39"/>
      <w:bookmarkEnd w:id="40"/>
    </w:p>
    <w:p w14:paraId="0206C46B">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1、在执行本合同中发生的或与本合同有关的争端，双方应通过友好协商解决，经协商在天内不能达成协议时，则采取以下第</w:t>
      </w:r>
      <w:r>
        <w:rPr>
          <w:rFonts w:hint="eastAsia" w:ascii="仿宋" w:hAnsi="仿宋" w:eastAsia="仿宋" w:cs="仿宋"/>
          <w:sz w:val="21"/>
          <w:szCs w:val="21"/>
          <w:u w:val="single"/>
        </w:rPr>
        <w:t>1</w:t>
      </w:r>
      <w:r>
        <w:rPr>
          <w:rFonts w:hint="eastAsia" w:ascii="仿宋" w:hAnsi="仿宋" w:eastAsia="仿宋" w:cs="仿宋"/>
          <w:sz w:val="21"/>
          <w:szCs w:val="21"/>
          <w:lang w:val="zh-CN"/>
        </w:rPr>
        <w:t>种方式解决争议：</w:t>
      </w:r>
    </w:p>
    <w:p w14:paraId="5553B586">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（1）向甲方所在地有管辖权的人民法院提起诉讼；</w:t>
      </w:r>
    </w:p>
    <w:p w14:paraId="450DE611">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（2）向</w:t>
      </w:r>
      <w:r>
        <w:rPr>
          <w:rFonts w:hint="eastAsia" w:ascii="仿宋" w:hAnsi="仿宋" w:eastAsia="仿宋" w:cs="仿宋"/>
          <w:sz w:val="21"/>
          <w:szCs w:val="21"/>
          <w:u w:val="single"/>
          <w:lang w:val="zh-CN"/>
        </w:rPr>
        <w:t>西安仲裁委员会</w:t>
      </w:r>
      <w:r>
        <w:rPr>
          <w:rFonts w:hint="eastAsia" w:ascii="仿宋" w:hAnsi="仿宋" w:eastAsia="仿宋" w:cs="仿宋"/>
          <w:sz w:val="21"/>
          <w:szCs w:val="21"/>
          <w:lang w:val="zh-CN"/>
        </w:rPr>
        <w:t>按其仲裁规则申请仲裁。</w:t>
      </w:r>
    </w:p>
    <w:p w14:paraId="1305B5CD">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2、在仲裁期间，本合同应继续履行。</w:t>
      </w:r>
    </w:p>
    <w:p w14:paraId="6D2885FF">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b/>
          <w:bCs/>
          <w:sz w:val="21"/>
          <w:szCs w:val="21"/>
          <w:lang w:val="zh-CN"/>
        </w:rPr>
      </w:pPr>
      <w:bookmarkStart w:id="41" w:name="_Toc27861"/>
      <w:bookmarkStart w:id="42" w:name="_Toc6409"/>
      <w:bookmarkStart w:id="43" w:name="_Toc15758"/>
      <w:bookmarkStart w:id="44" w:name="_Toc6452"/>
      <w:r>
        <w:rPr>
          <w:rFonts w:hint="eastAsia" w:ascii="仿宋" w:hAnsi="仿宋" w:eastAsia="仿宋" w:cs="仿宋"/>
          <w:b/>
          <w:bCs/>
          <w:sz w:val="21"/>
          <w:szCs w:val="21"/>
          <w:lang w:val="zh-CN"/>
        </w:rPr>
        <w:t>第十</w:t>
      </w:r>
      <w:r>
        <w:rPr>
          <w:rFonts w:hint="eastAsia" w:ascii="仿宋" w:hAnsi="仿宋" w:eastAsia="仿宋" w:cs="仿宋"/>
          <w:b/>
          <w:bCs/>
          <w:sz w:val="21"/>
          <w:szCs w:val="21"/>
        </w:rPr>
        <w:t>五</w:t>
      </w:r>
      <w:r>
        <w:rPr>
          <w:rFonts w:hint="eastAsia" w:ascii="仿宋" w:hAnsi="仿宋" w:eastAsia="仿宋" w:cs="仿宋"/>
          <w:b/>
          <w:bCs/>
          <w:sz w:val="21"/>
          <w:szCs w:val="21"/>
          <w:lang w:val="zh-CN"/>
        </w:rPr>
        <w:t>条 合同的转让</w:t>
      </w:r>
      <w:bookmarkEnd w:id="41"/>
      <w:bookmarkEnd w:id="42"/>
      <w:bookmarkEnd w:id="43"/>
      <w:bookmarkEnd w:id="44"/>
    </w:p>
    <w:p w14:paraId="13D309A4">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乙方不得擅自部分或全部转让其应履行的合同义务。</w:t>
      </w:r>
    </w:p>
    <w:p w14:paraId="59E75CC5">
      <w:pPr>
        <w:keepLines w:val="0"/>
        <w:pageBreakBefore w:val="0"/>
        <w:widowControl w:val="0"/>
        <w:kinsoku/>
        <w:wordWrap/>
        <w:overflowPunct/>
        <w:topLinePunct w:val="0"/>
        <w:autoSpaceDE w:val="0"/>
        <w:autoSpaceDN w:val="0"/>
        <w:bidi w:val="0"/>
        <w:adjustRightInd w:val="0"/>
        <w:spacing w:line="600" w:lineRule="exact"/>
        <w:ind w:firstLine="422" w:firstLineChars="200"/>
        <w:jc w:val="left"/>
        <w:textAlignment w:val="auto"/>
        <w:outlineLvl w:val="1"/>
        <w:rPr>
          <w:rFonts w:hint="eastAsia" w:ascii="仿宋" w:hAnsi="仿宋" w:eastAsia="仿宋" w:cs="仿宋"/>
          <w:sz w:val="21"/>
          <w:szCs w:val="21"/>
          <w:lang w:val="zh-CN"/>
        </w:rPr>
      </w:pPr>
      <w:bookmarkStart w:id="45" w:name="_Toc13938"/>
      <w:bookmarkStart w:id="46" w:name="_Toc27184"/>
      <w:bookmarkStart w:id="47" w:name="_Toc19086"/>
      <w:bookmarkStart w:id="48" w:name="_Toc2429"/>
      <w:r>
        <w:rPr>
          <w:rFonts w:hint="eastAsia" w:ascii="仿宋" w:hAnsi="仿宋" w:eastAsia="仿宋" w:cs="仿宋"/>
          <w:b/>
          <w:bCs/>
          <w:sz w:val="21"/>
          <w:szCs w:val="21"/>
          <w:lang w:val="zh-CN"/>
        </w:rPr>
        <w:t>第十</w:t>
      </w:r>
      <w:r>
        <w:rPr>
          <w:rFonts w:hint="eastAsia" w:ascii="仿宋" w:hAnsi="仿宋" w:eastAsia="仿宋" w:cs="仿宋"/>
          <w:b/>
          <w:bCs/>
          <w:sz w:val="21"/>
          <w:szCs w:val="21"/>
        </w:rPr>
        <w:t>六</w:t>
      </w:r>
      <w:r>
        <w:rPr>
          <w:rFonts w:hint="eastAsia" w:ascii="仿宋" w:hAnsi="仿宋" w:eastAsia="仿宋" w:cs="仿宋"/>
          <w:b/>
          <w:bCs/>
          <w:sz w:val="21"/>
          <w:szCs w:val="21"/>
          <w:lang w:val="zh-CN"/>
        </w:rPr>
        <w:t>条  合同生效及其他</w:t>
      </w:r>
      <w:bookmarkEnd w:id="45"/>
      <w:bookmarkEnd w:id="46"/>
      <w:bookmarkEnd w:id="47"/>
      <w:bookmarkEnd w:id="48"/>
    </w:p>
    <w:p w14:paraId="0C207179">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1、本合同自签订之日起生效。</w:t>
      </w:r>
    </w:p>
    <w:p w14:paraId="5EA3CD8D">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2、本合同一式份，甲乙双方各执份</w:t>
      </w:r>
      <w:r>
        <w:rPr>
          <w:rFonts w:hint="eastAsia" w:ascii="仿宋" w:hAnsi="仿宋" w:eastAsia="仿宋" w:cs="仿宋"/>
          <w:sz w:val="21"/>
          <w:szCs w:val="21"/>
        </w:rPr>
        <w:t>。</w:t>
      </w:r>
    </w:p>
    <w:p w14:paraId="739E7D07">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3、本合同应按照中华人民共和国的现行法律进行解释。</w:t>
      </w:r>
    </w:p>
    <w:p w14:paraId="5BC7A4F5">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p>
    <w:p w14:paraId="4D11E325">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 xml:space="preserve">甲方：（盖章）                      乙方：（盖章）   </w:t>
      </w:r>
    </w:p>
    <w:p w14:paraId="6726E028">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 xml:space="preserve">                   </w:t>
      </w:r>
    </w:p>
    <w:p w14:paraId="40F8CC3B">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lang w:val="zh-CN"/>
        </w:rPr>
        <w:t xml:space="preserve">法定代表人：（签字）           法定代表人：（签字）    </w:t>
      </w:r>
    </w:p>
    <w:p w14:paraId="5843A56D">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p>
    <w:p w14:paraId="4DA1A2EB">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r>
        <w:rPr>
          <w:rFonts w:hint="eastAsia" w:ascii="仿宋" w:hAnsi="仿宋" w:eastAsia="仿宋" w:cs="仿宋"/>
          <w:sz w:val="21"/>
          <w:szCs w:val="21"/>
        </w:rPr>
        <w:t>签订日期</w:t>
      </w:r>
      <w:r>
        <w:rPr>
          <w:rFonts w:hint="eastAsia" w:ascii="仿宋" w:hAnsi="仿宋" w:eastAsia="仿宋" w:cs="仿宋"/>
          <w:sz w:val="21"/>
          <w:szCs w:val="21"/>
          <w:lang w:val="zh-CN"/>
        </w:rPr>
        <w:t xml:space="preserve">：                       </w:t>
      </w:r>
      <w:r>
        <w:rPr>
          <w:rFonts w:hint="eastAsia" w:ascii="仿宋" w:hAnsi="仿宋" w:eastAsia="仿宋" w:cs="仿宋"/>
          <w:sz w:val="21"/>
          <w:szCs w:val="21"/>
        </w:rPr>
        <w:t>签订日期</w:t>
      </w:r>
      <w:r>
        <w:rPr>
          <w:rFonts w:hint="eastAsia" w:ascii="仿宋" w:hAnsi="仿宋" w:eastAsia="仿宋" w:cs="仿宋"/>
          <w:sz w:val="21"/>
          <w:szCs w:val="21"/>
          <w:lang w:val="zh-CN"/>
        </w:rPr>
        <w:t xml:space="preserve">：   </w:t>
      </w:r>
    </w:p>
    <w:p w14:paraId="222E2538">
      <w:pPr>
        <w:keepLines w:val="0"/>
        <w:pageBreakBefore w:val="0"/>
        <w:widowControl w:val="0"/>
        <w:kinsoku/>
        <w:wordWrap/>
        <w:overflowPunct/>
        <w:topLinePunct w:val="0"/>
        <w:autoSpaceDE w:val="0"/>
        <w:autoSpaceDN w:val="0"/>
        <w:bidi w:val="0"/>
        <w:adjustRightInd w:val="0"/>
        <w:spacing w:line="600" w:lineRule="exact"/>
        <w:ind w:firstLine="420" w:firstLineChars="200"/>
        <w:jc w:val="left"/>
        <w:textAlignment w:val="auto"/>
        <w:rPr>
          <w:rFonts w:hint="eastAsia" w:ascii="仿宋" w:hAnsi="仿宋" w:eastAsia="仿宋" w:cs="仿宋"/>
          <w:sz w:val="21"/>
          <w:szCs w:val="21"/>
          <w:lang w:val="zh-CN"/>
        </w:rPr>
      </w:pPr>
    </w:p>
    <w:p w14:paraId="5C86A87D">
      <w:pPr>
        <w:keepLines w:val="0"/>
        <w:pageBreakBefore w:val="0"/>
        <w:widowControl w:val="0"/>
        <w:kinsoku/>
        <w:wordWrap/>
        <w:overflowPunct/>
        <w:topLinePunct w:val="0"/>
        <w:bidi w:val="0"/>
        <w:adjustRightInd w:val="0"/>
        <w:snapToGrid w:val="0"/>
        <w:spacing w:line="600" w:lineRule="exact"/>
        <w:jc w:val="left"/>
        <w:textAlignment w:val="auto"/>
        <w:outlineLvl w:val="0"/>
        <w:rPr>
          <w:rFonts w:hint="eastAsia" w:ascii="仿宋" w:hAnsi="仿宋" w:eastAsia="仿宋" w:cs="仿宋"/>
          <w:sz w:val="21"/>
          <w:szCs w:val="21"/>
          <w:lang w:val="zh-CN"/>
        </w:rPr>
      </w:pPr>
      <w:bookmarkStart w:id="49" w:name="_Toc11047"/>
      <w:bookmarkStart w:id="50" w:name="_Toc25080"/>
      <w:bookmarkStart w:id="51" w:name="_Toc8588"/>
      <w:bookmarkStart w:id="52" w:name="_Toc12889"/>
    </w:p>
    <w:p w14:paraId="2AF8D2CE">
      <w:pPr>
        <w:pStyle w:val="3"/>
        <w:keepLines w:val="0"/>
        <w:pageBreakBefore w:val="0"/>
        <w:widowControl w:val="0"/>
        <w:numPr>
          <w:ilvl w:val="0"/>
          <w:numId w:val="0"/>
        </w:numPr>
        <w:kinsoku/>
        <w:wordWrap/>
        <w:overflowPunct/>
        <w:topLinePunct w:val="0"/>
        <w:bidi w:val="0"/>
        <w:spacing w:line="600" w:lineRule="exact"/>
        <w:jc w:val="left"/>
        <w:textAlignment w:val="auto"/>
        <w:rPr>
          <w:rFonts w:hint="eastAsia" w:ascii="仿宋" w:hAnsi="仿宋" w:eastAsia="仿宋" w:cs="仿宋"/>
          <w:sz w:val="21"/>
          <w:szCs w:val="21"/>
          <w:lang w:val="zh-CN"/>
        </w:rPr>
      </w:pPr>
      <w:bookmarkStart w:id="53" w:name="_Toc21815"/>
      <w:bookmarkStart w:id="54" w:name="_Toc30283"/>
      <w:bookmarkStart w:id="55" w:name="_Toc26742"/>
      <w:r>
        <w:rPr>
          <w:rFonts w:hint="eastAsia" w:ascii="仿宋" w:hAnsi="仿宋" w:eastAsia="仿宋" w:cs="仿宋"/>
          <w:sz w:val="21"/>
          <w:szCs w:val="21"/>
          <w:lang w:val="zh-CN"/>
        </w:rPr>
        <w:t>注：本合同未定事宜，双方可根据具体情况结合有关规定另行签订补充协议，补充协议与本合同具有同等法律效力</w:t>
      </w:r>
      <w:bookmarkEnd w:id="49"/>
      <w:bookmarkEnd w:id="50"/>
      <w:bookmarkEnd w:id="51"/>
      <w:bookmarkEnd w:id="52"/>
      <w:r>
        <w:rPr>
          <w:rFonts w:hint="eastAsia" w:ascii="仿宋" w:hAnsi="仿宋" w:eastAsia="仿宋" w:cs="仿宋"/>
          <w:sz w:val="21"/>
          <w:szCs w:val="21"/>
          <w:lang w:val="zh-CN"/>
        </w:rPr>
        <w:t>。</w:t>
      </w:r>
      <w:bookmarkEnd w:id="53"/>
      <w:bookmarkEnd w:id="54"/>
      <w:bookmarkEnd w:id="55"/>
    </w:p>
    <w:p w14:paraId="1F5695E8">
      <w:pPr>
        <w:pStyle w:val="9"/>
      </w:pPr>
      <w:r>
        <w:rPr>
          <w:rFonts w:hint="eastAsia" w:ascii="仿宋" w:hAnsi="仿宋" w:eastAsia="仿宋" w:cs="仿宋"/>
          <w:sz w:val="24"/>
          <w:szCs w:val="24"/>
          <w:lang w:val="zh-CN"/>
        </w:rPr>
        <w:br w:type="page"/>
      </w:r>
    </w:p>
    <w:p w14:paraId="4890EB34">
      <w:bookmarkStart w:id="56" w:name="_GoBack"/>
      <w:bookmarkEnd w:id="5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B625F"/>
    <w:rsid w:val="592B6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widowControl w:val="0"/>
      <w:spacing w:beforeLines="0" w:beforeAutospacing="0" w:afterLines="0" w:afterAutospacing="0" w:line="240" w:lineRule="auto"/>
      <w:jc w:val="center"/>
      <w:outlineLvl w:val="0"/>
    </w:pPr>
    <w:rPr>
      <w:rFonts w:ascii="Arial" w:hAnsi="Arial" w:eastAsia="仿宋"/>
      <w:b/>
      <w:kern w:val="44"/>
      <w:sz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2025-11-12T07:33:00Z</dcterms:created>
  <dc:creator>博标</dc:creator>
  <cp:lastModifiedBy>博标</cp:lastModifiedBy>
  <dcterms:modified xsi:type="dcterms:W3CDTF">2025-11-12T07:33:34Z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BA180164A74B4BC0B1CEADB7B70AAF13_11</vt:lpwstr>
  </property>
  <property fmtid="{D5CDD505-2E9C-101B-9397-08002B2CF9AE}" pid="4" name="KSOTemplateDocerSaveRecord">
    <vt:lpwstr>eyJoZGlkIjoiOTY3ZmMxNTAwMGViNDM4MGE2Yjc2MzIxMjhkNTA0YjMiLCJ1c2VySWQiOiIxMzg3NjIwMDk0In0=</vt:lpwstr>
  </property>
</Properties>
</file>