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版本号：ZDYT-ZB-2025(94)20251122001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阎良区政府网站集约化运维服务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ZDYT-ZB-2025(94)</w:t>
      </w:r>
      <w:r>
        <w:br/>
      </w:r>
      <w:r>
        <w:br/>
      </w:r>
      <w:r>
        <w:br/>
      </w:r>
    </w:p>
    <w:p>
      <w:pPr>
        <w:pStyle w:val="null3"/>
        <w:jc w:val="center"/>
        <w:outlineLvl w:val="2"/>
      </w:pPr>
      <w:r>
        <w:rPr>
          <w:rFonts w:ascii="仿宋_GB2312" w:hAnsi="仿宋_GB2312" w:cs="仿宋_GB2312" w:eastAsia="仿宋_GB2312"/>
          <w:sz w:val="28"/>
          <w:b/>
        </w:rPr>
        <w:t>西安市阎良区数据信息服务中心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西安市阎良区数据信息服务中心</w:t>
      </w:r>
      <w:r>
        <w:rPr>
          <w:rFonts w:ascii="仿宋_GB2312" w:hAnsi="仿宋_GB2312" w:cs="仿宋_GB2312" w:eastAsia="仿宋_GB2312"/>
        </w:rPr>
        <w:t>委托，拟对</w:t>
      </w:r>
      <w:r>
        <w:rPr>
          <w:rFonts w:ascii="仿宋_GB2312" w:hAnsi="仿宋_GB2312" w:cs="仿宋_GB2312" w:eastAsia="仿宋_GB2312"/>
        </w:rPr>
        <w:t>阎良区政府网站集约化运维服务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阎良区政府网站集约化运维服务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2020年，西安市阎良区政府网站统一迁移至西安市政府网站集约化平台，根据《西安市政府网站集约化平台管理办法》的要求，各网站主办单位自行负责政府网站内容维护、栏目及功能优化提升、网站日常检查与监测、安全测评及安全检查、个性化需求定制等工作。为了保障阎良区政府网站安全、平稳运行，强化网站内容建设和日常监测，以满足中省市政府网站检查与政务公开考核要求，不断提升网站服务水平和政务公开水平，现需开展区政府网站日常运维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采购包1（阎良区政府网站集约化运维服务）：属于专门面向中小企业采购。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4、供应商不得存在下列情形之一：供应商不得存在下列情形之一：①单位负责人为同一人或者存在直接控股、管理关系的不同供应商不得参加同一合同项下的政府采购活动；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西安市阎良区数据信息服务中心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西安市阎良区延安街6号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西安市阎良区数据信息服务中心经办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18192119135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陕西省西安市经济技术开发区文景广场C座18层1802室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17782566626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西安市阎良区数据信息服务中心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西安市阎良区数据信息服务中心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西安市阎良区数据信息服务中心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乙方所提供服务、技术参数达到国家及行业标准，符合招投标文件要求，若出现服务与采购人要求不符等问题，由乙方负责。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联系电话：17782566626</w:t>
      </w:r>
    </w:p>
    <w:p>
      <w:pPr>
        <w:pStyle w:val="null3"/>
      </w:pPr>
      <w:r>
        <w:rPr>
          <w:rFonts w:ascii="仿宋_GB2312" w:hAnsi="仿宋_GB2312" w:cs="仿宋_GB2312" w:eastAsia="仿宋_GB2312"/>
        </w:rPr>
        <w:t>地址：陕西省西安市经济技术开发区文景广场C座18层1802室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2020年，西安市阎良区政府网站统一迁移至西安市政府网站集约化平台，根据《西安市政府网站集约化平台管理办法》的要求，各网站主办单位自行负责政府网站内容维护、栏目及功能优化提升、网站日常检查与监测、安全测评及安全检查、个性化需求定制等工作。为了保障阎良区政府网站安全、平稳运行，强化网站内容建设和日常监测，以满足中省市政府网站检查与政务公开考核要求，不断提升网站服务水平和政务公开水平，现需开展区政府网站日常运维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409,000.00</w:t>
      </w:r>
    </w:p>
    <w:p>
      <w:pPr>
        <w:pStyle w:val="null3"/>
      </w:pPr>
      <w:r>
        <w:rPr>
          <w:rFonts w:ascii="仿宋_GB2312" w:hAnsi="仿宋_GB2312" w:cs="仿宋_GB2312" w:eastAsia="仿宋_GB2312"/>
        </w:rPr>
        <w:t>采购包最高限价（元）: 409,000.00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阎良区政府网站集约化运维服务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标的名称：阎良区政府网站集约化运维服务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2020年，西安市阎良区政府网站统一迁移至西安市政府网站集约化平台，根据《西安市政府网站集约化平台管理办法》的要求，各网站主办单位自行负责政府网站内容维护、栏目及功能优化提升、网站日常检查与监测、安全测评及安全检查、个性化需求定制等工作。</w:t>
            </w:r>
            <w:r>
              <w:rPr>
                <w:rFonts w:ascii="仿宋_GB2312" w:hAnsi="仿宋_GB2312" w:cs="仿宋_GB2312" w:eastAsia="仿宋_GB2312"/>
                <w:sz w:val="28"/>
              </w:rPr>
              <w:t>为了保障阎良区政府网站安全、平稳运行，强化网站内容建设和日常监测，以满足中省市政府网站检查与政务公开考核要求，不断提升网站服务水平和政务公开水平，现需开展区政府网站日常运维服务工作。</w:t>
            </w:r>
          </w:p>
          <w:p>
            <w:pPr>
              <w:pStyle w:val="null3"/>
              <w:jc w:val="left"/>
              <w:outlineLvl w:val="1"/>
            </w:pPr>
            <w:r>
              <w:rPr>
                <w:rFonts w:ascii="仿宋_GB2312" w:hAnsi="仿宋_GB2312" w:cs="仿宋_GB2312" w:eastAsia="仿宋_GB2312"/>
                <w:sz w:val="28"/>
                <w:b/>
              </w:rPr>
              <w:t>二、服务内容</w:t>
            </w:r>
          </w:p>
          <w:p>
            <w:pPr>
              <w:pStyle w:val="null3"/>
              <w:ind w:firstLine="562"/>
              <w:jc w:val="both"/>
            </w:pPr>
            <w:r>
              <w:rPr>
                <w:rFonts w:ascii="仿宋_GB2312" w:hAnsi="仿宋_GB2312" w:cs="仿宋_GB2312" w:eastAsia="仿宋_GB2312"/>
                <w:sz w:val="28"/>
                <w:b/>
              </w:rPr>
              <w:t>（一）网站内容定制服务</w:t>
            </w:r>
          </w:p>
          <w:p>
            <w:pPr>
              <w:pStyle w:val="null3"/>
              <w:ind w:firstLine="562"/>
              <w:jc w:val="both"/>
            </w:pPr>
            <w:r>
              <w:rPr>
                <w:rFonts w:ascii="仿宋_GB2312" w:hAnsi="仿宋_GB2312" w:cs="仿宋_GB2312" w:eastAsia="仿宋_GB2312"/>
                <w:sz w:val="28"/>
                <w:b/>
              </w:rPr>
              <w:t>1、网站技术运维</w:t>
            </w:r>
          </w:p>
          <w:p>
            <w:pPr>
              <w:pStyle w:val="null3"/>
              <w:ind w:firstLine="560"/>
              <w:jc w:val="both"/>
            </w:pPr>
            <w:r>
              <w:rPr>
                <w:rFonts w:ascii="仿宋_GB2312" w:hAnsi="仿宋_GB2312" w:cs="仿宋_GB2312" w:eastAsia="仿宋_GB2312"/>
                <w:sz w:val="28"/>
              </w:rPr>
              <w:t>提供网站日常技术运维服务，具体包括问题诊断与修改、定期巡检、系统监控、数据管理、性能优化、系统管理、安全管理、技术咨询、专项保障、系统培训等服务。</w:t>
            </w:r>
          </w:p>
          <w:p>
            <w:pPr>
              <w:pStyle w:val="null3"/>
              <w:ind w:firstLine="562"/>
              <w:jc w:val="both"/>
            </w:pPr>
            <w:r>
              <w:rPr>
                <w:rFonts w:ascii="仿宋_GB2312" w:hAnsi="仿宋_GB2312" w:cs="仿宋_GB2312" w:eastAsia="仿宋_GB2312"/>
                <w:sz w:val="28"/>
                <w:b/>
              </w:rPr>
              <w:t>2、网站页面定制</w:t>
            </w:r>
          </w:p>
          <w:p>
            <w:pPr>
              <w:pStyle w:val="null3"/>
              <w:ind w:firstLine="560"/>
              <w:jc w:val="both"/>
            </w:pPr>
            <w:r>
              <w:rPr>
                <w:rFonts w:ascii="仿宋_GB2312" w:hAnsi="仿宋_GB2312" w:cs="仿宋_GB2312" w:eastAsia="仿宋_GB2312"/>
                <w:sz w:val="28"/>
              </w:rPr>
              <w:t>根据中省市政府网站及政务公开考核要求或实际业务需求，提供网站页面优化调整、网站栏目及展示方式调整、网站图片制作、数据处理与统计分析等服务。</w:t>
            </w:r>
          </w:p>
          <w:p>
            <w:pPr>
              <w:pStyle w:val="null3"/>
              <w:ind w:firstLine="562"/>
              <w:jc w:val="both"/>
            </w:pPr>
            <w:r>
              <w:rPr>
                <w:rFonts w:ascii="仿宋_GB2312" w:hAnsi="仿宋_GB2312" w:cs="仿宋_GB2312" w:eastAsia="仿宋_GB2312"/>
                <w:sz w:val="28"/>
                <w:b/>
              </w:rPr>
              <w:t>3、网站专题策划与制作</w:t>
            </w:r>
          </w:p>
          <w:p>
            <w:pPr>
              <w:pStyle w:val="null3"/>
              <w:ind w:firstLine="560"/>
              <w:jc w:val="both"/>
            </w:pPr>
            <w:r>
              <w:rPr>
                <w:rFonts w:ascii="仿宋_GB2312" w:hAnsi="仿宋_GB2312" w:cs="仿宋_GB2312" w:eastAsia="仿宋_GB2312"/>
                <w:sz w:val="28"/>
              </w:rPr>
              <w:t>根据中省市要求及阎良区重点工作和热点活动需要，规划建设网站专题专栏，提供专题制作服务。制作专题具体流程是设计、切图、制作模板、创建专题栏目、实施、测试、交付。每年</w:t>
            </w:r>
            <w:r>
              <w:rPr>
                <w:rFonts w:ascii="仿宋_GB2312" w:hAnsi="仿宋_GB2312" w:cs="仿宋_GB2312" w:eastAsia="仿宋_GB2312"/>
                <w:sz w:val="28"/>
              </w:rPr>
              <w:t>5个。</w:t>
            </w:r>
          </w:p>
          <w:p>
            <w:pPr>
              <w:pStyle w:val="null3"/>
              <w:ind w:firstLine="562"/>
              <w:jc w:val="both"/>
            </w:pPr>
            <w:r>
              <w:rPr>
                <w:rFonts w:ascii="仿宋_GB2312" w:hAnsi="仿宋_GB2312" w:cs="仿宋_GB2312" w:eastAsia="仿宋_GB2312"/>
                <w:sz w:val="28"/>
                <w:b/>
              </w:rPr>
              <w:t>4、政策解读制作</w:t>
            </w:r>
          </w:p>
          <w:p>
            <w:pPr>
              <w:pStyle w:val="null3"/>
              <w:ind w:firstLine="560"/>
              <w:jc w:val="both"/>
            </w:pPr>
            <w:r>
              <w:rPr>
                <w:rFonts w:ascii="仿宋_GB2312" w:hAnsi="仿宋_GB2312" w:cs="仿宋_GB2312" w:eastAsia="仿宋_GB2312"/>
                <w:sz w:val="28"/>
              </w:rPr>
              <w:t>定期完成阎良区相关政策、重要文件、常务会议、数据统计等重点信息图文解读的设计、制作和发布。每年</w:t>
            </w:r>
            <w:r>
              <w:rPr>
                <w:rFonts w:ascii="仿宋_GB2312" w:hAnsi="仿宋_GB2312" w:cs="仿宋_GB2312" w:eastAsia="仿宋_GB2312"/>
                <w:sz w:val="28"/>
              </w:rPr>
              <w:t>30个。</w:t>
            </w:r>
          </w:p>
          <w:p>
            <w:pPr>
              <w:pStyle w:val="null3"/>
              <w:ind w:firstLine="562"/>
              <w:jc w:val="both"/>
            </w:pPr>
            <w:r>
              <w:rPr>
                <w:rFonts w:ascii="仿宋_GB2312" w:hAnsi="仿宋_GB2312" w:cs="仿宋_GB2312" w:eastAsia="仿宋_GB2312"/>
                <w:sz w:val="28"/>
                <w:b/>
              </w:rPr>
              <w:t>（二）政府网站监测服务</w:t>
            </w:r>
          </w:p>
          <w:p>
            <w:pPr>
              <w:pStyle w:val="null3"/>
              <w:ind w:firstLine="560"/>
              <w:jc w:val="both"/>
            </w:pPr>
            <w:r>
              <w:rPr>
                <w:rFonts w:ascii="仿宋_GB2312" w:hAnsi="仿宋_GB2312" w:cs="仿宋_GB2312" w:eastAsia="仿宋_GB2312"/>
                <w:sz w:val="28"/>
              </w:rPr>
              <w:t>基于云服务模式，提供网站监测系统，针对政府网站无法访问、网站可用性、链接可用性、外链暗链、网站响应、内容更新、错敏信息、隐私泄露等方面进行实时监测和扫描，及时预警提醒，并根据《政府网站与政务新媒体检查指标》，进行人工季度全面检查、结合系统监测结果，出具全面的监测报告。</w:t>
            </w:r>
          </w:p>
          <w:p>
            <w:pPr>
              <w:pStyle w:val="null3"/>
              <w:ind w:firstLine="562"/>
              <w:jc w:val="both"/>
            </w:pPr>
            <w:r>
              <w:rPr>
                <w:rFonts w:ascii="仿宋_GB2312" w:hAnsi="仿宋_GB2312" w:cs="仿宋_GB2312" w:eastAsia="仿宋_GB2312"/>
                <w:sz w:val="28"/>
                <w:b/>
              </w:rPr>
              <w:t>（三）智能问答服务</w:t>
            </w:r>
          </w:p>
          <w:p>
            <w:pPr>
              <w:pStyle w:val="null3"/>
              <w:ind w:firstLine="560"/>
              <w:jc w:val="both"/>
            </w:pPr>
            <w:r>
              <w:rPr>
                <w:rFonts w:ascii="仿宋_GB2312" w:hAnsi="仿宋_GB2312" w:cs="仿宋_GB2312" w:eastAsia="仿宋_GB2312"/>
                <w:sz w:val="28"/>
              </w:rPr>
              <w:t>提供智能问答系统服务，具体包括意图识别、自动问答、办事问答、场景服务、知识库管理等功能。同时，提供智能问答知识库梳理、更新、维护、语义训练和分析报告等服务。</w:t>
            </w:r>
          </w:p>
          <w:p>
            <w:pPr>
              <w:pStyle w:val="null3"/>
              <w:ind w:firstLine="562"/>
              <w:jc w:val="both"/>
            </w:pPr>
            <w:r>
              <w:rPr>
                <w:rFonts w:ascii="仿宋_GB2312" w:hAnsi="仿宋_GB2312" w:cs="仿宋_GB2312" w:eastAsia="仿宋_GB2312"/>
                <w:sz w:val="28"/>
                <w:b/>
              </w:rPr>
              <w:t>（四）</w:t>
            </w:r>
            <w:r>
              <w:rPr>
                <w:rFonts w:ascii="仿宋_GB2312" w:hAnsi="仿宋_GB2312" w:cs="仿宋_GB2312" w:eastAsia="仿宋_GB2312"/>
                <w:sz w:val="28"/>
                <w:b/>
              </w:rPr>
              <w:t>适老化与无障碍改造工作</w:t>
            </w:r>
          </w:p>
          <w:p>
            <w:pPr>
              <w:pStyle w:val="null3"/>
              <w:ind w:firstLine="560"/>
              <w:jc w:val="both"/>
            </w:pPr>
            <w:r>
              <w:rPr>
                <w:rFonts w:ascii="仿宋_GB2312" w:hAnsi="仿宋_GB2312" w:cs="仿宋_GB2312" w:eastAsia="仿宋_GB2312"/>
                <w:sz w:val="28"/>
              </w:rPr>
              <w:t>根据中省关于互联网应用适老化改造、设计和评测要求，针对标识与描述、视觉呈现、听觉感知、非文本</w:t>
            </w:r>
            <w:r>
              <w:rPr>
                <w:rFonts w:ascii="仿宋_GB2312" w:hAnsi="仿宋_GB2312" w:cs="仿宋_GB2312" w:eastAsia="仿宋_GB2312"/>
                <w:sz w:val="28"/>
              </w:rPr>
              <w:t>处理</w:t>
            </w:r>
            <w:r>
              <w:rPr>
                <w:rFonts w:ascii="仿宋_GB2312" w:hAnsi="仿宋_GB2312" w:cs="仿宋_GB2312" w:eastAsia="仿宋_GB2312"/>
                <w:sz w:val="28"/>
              </w:rPr>
              <w:t>等方面开展政府网站适老化与无障碍改造工作，加快推进互联网应用适老化及无障碍改造专项行动，助力老年人、残疾人等重点受益群体平等便捷地获取、使用互联网应用信息。</w:t>
            </w:r>
          </w:p>
          <w:p>
            <w:pPr>
              <w:pStyle w:val="null3"/>
              <w:ind w:firstLine="560"/>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根据市政府网站集约化要求，全市各区县政府网站已于</w:t>
            </w:r>
            <w:r>
              <w:rPr>
                <w:rFonts w:ascii="仿宋_GB2312" w:hAnsi="仿宋_GB2312" w:cs="仿宋_GB2312" w:eastAsia="仿宋_GB2312"/>
                <w:sz w:val="28"/>
              </w:rPr>
              <w:t>2020年统一迁移至西安市政府网站集约化平台，网站服务器位于市政府中心机房，故运维方应具备相应的技术能力、资质，可完成市政府中心机房服务器运维、后台操作。</w:t>
            </w:r>
          </w:p>
          <w:p>
            <w:pPr>
              <w:pStyle w:val="null3"/>
              <w:jc w:val="left"/>
              <w:outlineLvl w:val="1"/>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2*5*8*365服务保障，2小时内相应，8小时内基本故障处理，重大故障在5个工作日处理完毕，遇到不可抗力因素等特殊情况，与甲方单位共同协商解决。</w:t>
            </w:r>
          </w:p>
          <w:p>
            <w:pPr>
              <w:pStyle w:val="null3"/>
              <w:jc w:val="left"/>
              <w:outlineLvl w:val="1"/>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合同签订之日起一年，具体时间在合同中进行详细约定。</w:t>
            </w:r>
          </w:p>
          <w:p>
            <w:pPr>
              <w:pStyle w:val="null3"/>
              <w:ind w:firstLine="560"/>
              <w:jc w:val="both"/>
            </w:pPr>
            <w:r>
              <w:rPr>
                <w:rFonts w:ascii="仿宋_GB2312" w:hAnsi="仿宋_GB2312" w:cs="仿宋_GB2312" w:eastAsia="仿宋_GB2312"/>
                <w:sz w:val="28"/>
              </w:rPr>
              <w:t>（二）款项结算</w:t>
            </w:r>
          </w:p>
          <w:p>
            <w:pPr>
              <w:pStyle w:val="null3"/>
              <w:jc w:val="left"/>
              <w:outlineLvl w:val="1"/>
            </w:pPr>
            <w:r>
              <w:rPr>
                <w:rFonts w:ascii="仿宋_GB2312" w:hAnsi="仿宋_GB2312" w:cs="仿宋_GB2312" w:eastAsia="仿宋_GB2312"/>
                <w:sz w:val="28"/>
                <w:b/>
              </w:rPr>
              <w:t>合同签订之日后，达到付款条件起</w:t>
            </w:r>
            <w:r>
              <w:rPr>
                <w:rFonts w:ascii="仿宋_GB2312" w:hAnsi="仿宋_GB2312" w:cs="仿宋_GB2312" w:eastAsia="仿宋_GB2312"/>
                <w:sz w:val="28"/>
                <w:b/>
              </w:rPr>
              <w:t>15日内，支付合同总金额的70.00%；验收结束后，达到付款条件起30日内，支付合同总金额的30.00%。</w:t>
            </w:r>
          </w:p>
          <w:p>
            <w:pPr>
              <w:pStyle w:val="null3"/>
              <w:jc w:val="left"/>
              <w:outlineLvl w:val="1"/>
            </w:pPr>
            <w:r>
              <w:rPr>
                <w:rFonts w:ascii="仿宋_GB2312" w:hAnsi="仿宋_GB2312" w:cs="仿宋_GB2312" w:eastAsia="仿宋_GB2312"/>
                <w:sz w:val="28"/>
                <w:b/>
              </w:rPr>
              <w:t>六、其他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）进度要求</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按项目实际要求，如期完成。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乙方所提供服务、技术参数达到国家及行业标准，符合招投标文件要求，若出现服务与采购人要求不符等问题，由乙方负责。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）违约责任</w:t>
            </w:r>
          </w:p>
          <w:p>
            <w:pPr>
              <w:pStyle w:val="null3"/>
              <w:ind w:firstLine="560"/>
              <w:jc w:val="both"/>
            </w:pPr>
            <w:r>
              <w:rPr>
                <w:rFonts w:ascii="仿宋_GB2312" w:hAnsi="仿宋_GB2312" w:cs="仿宋_GB2312" w:eastAsia="仿宋_GB2312"/>
                <w:sz w:val="28"/>
              </w:rPr>
              <w:t>依据《</w:t>
            </w:r>
            <w:r>
              <w:rPr>
                <w:rFonts w:ascii="仿宋_GB2312" w:hAnsi="仿宋_GB2312" w:cs="仿宋_GB2312" w:eastAsia="仿宋_GB2312"/>
                <w:sz w:val="28"/>
              </w:rPr>
              <w:t>民法典</w:t>
            </w:r>
            <w:r>
              <w:rPr>
                <w:rFonts w:ascii="仿宋_GB2312" w:hAnsi="仿宋_GB2312" w:cs="仿宋_GB2312" w:eastAsia="仿宋_GB2312"/>
                <w:sz w:val="28"/>
              </w:rPr>
              <w:t>》、《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确认方不对任何一方的违约行为承担任何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针对本项目配备专业的技术人员和相关的服务人员，确保项目顺利实施。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针对本项目配备专业的设施设备，设施设备齐全，确保项目顺利实施。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合同签订之日起一年，具体时间在合同中进行详细约定。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乙方所提供服务、技术参数达到国家及行业标准，符合招投标文件要求，若出现服务与采购人要求不符等问题，由乙方负责。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1、供应商须具有独立承担民事责任能力的法人、其他组织或自然人，提供营业执照/事业单位 法人证书/非企业专业服务机构执业许可证/自然人身份证; 2、根据《陕西省财政厅关于进一步 优化政府采购营商环境有关事项的通知》(陕财办采[2023]4号)文件精神，对供应商基本资格 条件实行“承诺+信用管理”。</w:t>
            </w:r>
          </w:p>
        </w:tc>
        <w:tc>
          <w:tcPr>
            <w:tcW w:type="dxa" w:w="1661"/>
          </w:tcPr>
          <w:p>
            <w:pPr>
              <w:pStyle w:val="null3"/>
            </w:pPr>
            <w:r>
              <w:rPr>
                <w:rFonts w:ascii="仿宋_GB2312" w:hAnsi="仿宋_GB2312" w:cs="仿宋_GB2312" w:eastAsia="仿宋_GB2312"/>
              </w:rPr>
              <w:t>基本资格条件承诺函.pdf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基本资格条件承诺函.pdf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基本资格条件承诺函.pdf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基本资格条件承诺函.pdf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法人授权委托书格式.pdf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分项费用组成明细表.pdf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法人授权委托书格式.pdf 服务内容及服务邀请应答表 中小企业声明函 商务应答表 分项费用组成明细表.pdf 供应商应提交的相关资格证明材料 报价表 响应文件封面 基本资格条件承诺函.pdf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3）服务期：合同签订之日起一年，具体时间在合同中进行详细约定；（4）服务地点：采购人指定地点；（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评审内容：对本项目涉及括①对本项目 工作内容的理解及背景分析；②阐述软件维护范围及维护流程；③日常维护范围及巡检安排；④数据分析及软件版本升级优化的调整安排；⑤运维期内的保密制度等。 评审标准：方案各部分内容全面详细、阐述条理清晰详尽、符合本项目采购需求得25分；评审内容每缺一项扣5分，扣完为止；评审内容有一项内容缺陷（缺陷是指：内容描述过于简单、条理不清晰、与项目内容不匹配、凭空编造、出现常识性错误、不可能实现的夸大情形、存在不适用项目实际情况的情形等）每一处缺陷扣 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评审内容：①针对本项目服务过程突发和临时事件的预计、应急处理能力②应急管理制度及应急措施③应急小组人员配备以及分工情况。 评审标准：方案各部分内容全面详细、阐述条理清晰详尽、符合本项目采购需求得12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项目服务团队配备</w:t>
            </w:r>
          </w:p>
        </w:tc>
        <w:tc>
          <w:tcPr>
            <w:tcW w:type="dxa" w:w="2492"/>
          </w:tcPr>
          <w:p>
            <w:pPr>
              <w:pStyle w:val="null3"/>
            </w:pPr>
            <w:r>
              <w:rPr>
                <w:rFonts w:ascii="仿宋_GB2312" w:hAnsi="仿宋_GB2312" w:cs="仿宋_GB2312" w:eastAsia="仿宋_GB2312"/>
              </w:rPr>
              <w:t>评审内容：①团队组织人员配置明细（需列明驻场服务人员）；②团队人员管理制度；③各专业岗位配置人员资格及工作经验； 评审标准：方案各部分内容全面详细、阐述条理清晰详尽、符合本项目采购需求得12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工作进度安排及质量保证措施</w:t>
            </w:r>
          </w:p>
        </w:tc>
        <w:tc>
          <w:tcPr>
            <w:tcW w:type="dxa" w:w="2492"/>
          </w:tcPr>
          <w:p>
            <w:pPr>
              <w:pStyle w:val="null3"/>
            </w:pPr>
            <w:r>
              <w:rPr>
                <w:rFonts w:ascii="仿宋_GB2312" w:hAnsi="仿宋_GB2312" w:cs="仿宋_GB2312" w:eastAsia="仿宋_GB2312"/>
              </w:rPr>
              <w:t>评审内容：①工作进度计划安排②工作进度计划保障措施 ③为保障项目进度拟投入设备情况④质量保证措施⑤质量目标。 评审标准：方案各部分内容全面详细、阐述条理清晰详尽、符合本项目采购需求得20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内控制度及培训方案</w:t>
            </w:r>
          </w:p>
        </w:tc>
        <w:tc>
          <w:tcPr>
            <w:tcW w:type="dxa" w:w="2492"/>
          </w:tcPr>
          <w:p>
            <w:pPr>
              <w:pStyle w:val="null3"/>
            </w:pPr>
            <w:r>
              <w:rPr>
                <w:rFonts w:ascii="仿宋_GB2312" w:hAnsi="仿宋_GB2312" w:cs="仿宋_GB2312" w:eastAsia="仿宋_GB2312"/>
              </w:rPr>
              <w:t>评审内容：①现场工作制度②内部管理制度③培训方案、内容及专职培训人员名单。 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供应商具有软件产品证书（集约化门户网站群管理系统）、DCMM数据管理成熟度认证证书，每提供1个得1分，共计2分。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供应商提供2022年1月1日至投标截止日类似网站运维或监测项目业绩（以加盖供应商公章的合同复印件为准，时间以合同签订时间为准），每提供一份有效业绩得2分，最高得10分。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 低的供应商的价格为磋商基准价，其价格分10分。 3.磋商报价得分=（磋商基准价/最终磋商报价）×10 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详见附件：法人授权委托书格式.pdf</w:t>
      </w:r>
    </w:p>
    <w:p>
      <w:pPr>
        <w:pStyle w:val="null3"/>
        <w:ind w:firstLine="960"/>
      </w:pPr>
      <w:r>
        <w:rPr>
          <w:rFonts w:ascii="仿宋_GB2312" w:hAnsi="仿宋_GB2312" w:cs="仿宋_GB2312" w:eastAsia="仿宋_GB2312"/>
        </w:rPr>
        <w:t>详见附件：分项费用组成明细表.pdf</w:t>
      </w:r>
    </w:p>
    <w:p>
      <w:pPr>
        <w:pStyle w:val="null3"/>
        <w:ind w:firstLine="960"/>
      </w:pPr>
      <w:r>
        <w:rPr>
          <w:rFonts w:ascii="仿宋_GB2312" w:hAnsi="仿宋_GB2312" w:cs="仿宋_GB2312" w:eastAsia="仿宋_GB2312"/>
        </w:rPr>
        <w:t>详见附件：基本资格条件承诺函.pdf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