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版本号：HXCT-ZFCG-2025-05720251224001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秦汉栎阳城：2012-2018年考古报告第5-7卷，栎阳瓦当2整理出版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HXCT-ZFCG-2025-057</w:t>
      </w:r>
      <w:r>
        <w:br/>
      </w:r>
      <w:r>
        <w:br/>
      </w:r>
      <w:r>
        <w:br/>
      </w:r>
    </w:p>
    <w:p>
      <w:pPr>
        <w:pStyle w:val="null3"/>
        <w:jc w:val="center"/>
        <w:outlineLvl w:val="2"/>
      </w:pPr>
      <w:r>
        <w:rPr>
          <w:rFonts w:ascii="仿宋_GB2312" w:hAnsi="仿宋_GB2312" w:cs="仿宋_GB2312" w:eastAsia="仿宋_GB2312"/>
          <w:sz w:val="28"/>
          <w:b/>
        </w:rPr>
        <w:t>西安市阎良区文化和旅游体育局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西安市阎良区文化和旅游体育局</w:t>
      </w:r>
      <w:r>
        <w:rPr>
          <w:rFonts w:ascii="仿宋_GB2312" w:hAnsi="仿宋_GB2312" w:cs="仿宋_GB2312" w:eastAsia="仿宋_GB2312"/>
        </w:rPr>
        <w:t>委托，拟对</w:t>
      </w:r>
      <w:r>
        <w:rPr>
          <w:rFonts w:ascii="仿宋_GB2312" w:hAnsi="仿宋_GB2312" w:cs="仿宋_GB2312" w:eastAsia="仿宋_GB2312"/>
        </w:rPr>
        <w:t>秦汉栎阳城：2012-2018年考古报告第5-7卷，栎阳瓦当2整理出版</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HXCT-ZFCG-2025-057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秦汉栎阳城：2012-2018年考古报告第5-7卷，栎阳瓦当2整理出版</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栎阳城遗址位于陕西省西安市阎良区，是文献所载秦献公、秦孝公时期都城，在楚汉相争之际先后为塞王司马欣、汉王刘邦的都城，在刘邦建立汉王朝后为定都长安之前的汉王朝第一座都城。由中国社会科学院考古研究所、西安市文物保护考古研究院联合组成的阿房宫与上林苑考古队在2012-2018年开展了大规模的栎阳城遗址考古，其考古成果入选2017年度全国十大考古新发现。在已整理出版《秦汉栎阳城：2012-2018年考古报告》第一至第四卷的基础上，阿房宫与上林苑考古队新近完成《秦汉栎阳城：2012-2018年考古报告》第五卷、《秦汉栎阳城：2012-2018年考古报告》第六卷、《秦汉栎阳城：2012-2018年考古报告》第七卷等三部考古报告的整理编写，拟出版印行。 陕西栎阳城遗址出土的秦汉瓦当，对研究秦汉考古、古代瓦当制度、秦汉建筑材料的生产制度等均具有重要价值，并对秦汉建筑装饰艺术研究有重要价值。有鉴于此，中国社会科学院考古研究所、西安市文物保护考古研究院在2020年出版《栎阳瓦当》的基础上，将在《栎阳瓦当》出版之后新出土、采集的各类瓦当进行了集中整理，拟编辑出版《栎阳瓦当（二）》一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陕西省财政厅关于进一步优化政府采购营商环境有关事项的通知》(陕财办采[2023]4号)文件精神，对供应商基本资格条件实行“承诺+信用管理”，供应商按要求提供基本资格条件承诺函：根据《陕西省财政厅关于进一步优化政府采购营商环境有关事项的通知》(陕财办采[2023]4号)文件精神，对供应商基本资格条件实行“承诺+信用管理”，供应商按要求提供基本资格条件承诺函；</w:t>
      </w:r>
    </w:p>
    <w:p>
      <w:pPr>
        <w:pStyle w:val="null3"/>
      </w:pPr>
      <w:r>
        <w:rPr>
          <w:rFonts w:ascii="仿宋_GB2312" w:hAnsi="仿宋_GB2312" w:cs="仿宋_GB2312" w:eastAsia="仿宋_GB2312"/>
        </w:rPr>
        <w:t>2、合法注册的企业提供营业执照（有统一社会信用代码）并附企业年度报告；事业法人提供事业单位法人证书、组织机构代码证书；其他组织应提供合法证明文件；自然人提供身份证：合法注册的企业提供营业执照（有统一社会信用代码）并附企业年度报告；事业法人提供事业单位法人证书、组织机构代码证书；其他组织应提供合法证明文件；自然人提供身份证；</w:t>
      </w:r>
    </w:p>
    <w:p>
      <w:pPr>
        <w:pStyle w:val="null3"/>
      </w:pPr>
      <w:r>
        <w:rPr>
          <w:rFonts w:ascii="仿宋_GB2312" w:hAnsi="仿宋_GB2312" w:cs="仿宋_GB2312" w:eastAsia="仿宋_GB2312"/>
        </w:rPr>
        <w:t>3、法定代表人授权委托书（附法定代表人、被授权人身份证复印件或扫描件）；法定代表人参加投标只须提供法定代表人身份证明（附法定代表人身份证复印件或扫描件）：法定代表人授权委托书（附法定代表人、被授权人身份证复印件或扫描件）；法定代表人参加投标只须提供法定代表人身份证明（附法定代表人身份证复印件或扫描件）；</w:t>
      </w:r>
    </w:p>
    <w:p>
      <w:pPr>
        <w:pStyle w:val="null3"/>
      </w:pPr>
      <w:r>
        <w:rPr>
          <w:rFonts w:ascii="仿宋_GB2312" w:hAnsi="仿宋_GB2312" w:cs="仿宋_GB2312" w:eastAsia="仿宋_GB2312"/>
        </w:rPr>
        <w:t>4、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w:t>
      </w:r>
    </w:p>
    <w:p>
      <w:pPr>
        <w:pStyle w:val="null3"/>
      </w:pPr>
      <w:r>
        <w:rPr>
          <w:rFonts w:ascii="仿宋_GB2312" w:hAnsi="仿宋_GB2312" w:cs="仿宋_GB2312" w:eastAsia="仿宋_GB2312"/>
        </w:rPr>
        <w:t>5、提供单位负责人为同一人或者存在直接控股、管理关系的不同供应商，不得参加同一合同项下的政府采购活动的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根据《陕西省财政厅关于进一步优化政府采购营商环境有关事项的通知》(陕财办采[2023]4号)文件精神，对供应商基本资格条件实行“承诺+信用管理”，供应商按要求提供基本资格条件承诺函：根据《陕西省财政厅关于进一步优化政府采购营商环境有关事项的通知》(陕财办采[2023]4号)文件精神，对供应商基本资格条件实行“承诺+信用管理”，供应商按要求提供基本资格条件承诺函；</w:t>
      </w:r>
    </w:p>
    <w:p>
      <w:pPr>
        <w:pStyle w:val="null3"/>
      </w:pPr>
      <w:r>
        <w:rPr>
          <w:rFonts w:ascii="仿宋_GB2312" w:hAnsi="仿宋_GB2312" w:cs="仿宋_GB2312" w:eastAsia="仿宋_GB2312"/>
        </w:rPr>
        <w:t>2、合法注册的企业提供营业执照（有统一社会信用代码）并附企业年度报告；事业法人提供事业单位法人证书、组织机构代码证书；其他组织应提供合法证明文件；自然人提供身份证：合法注册的企业提供营业执照（有统一社会信用代码）并附企业年度报告；事业法人提供事业单位法人证书、组织机构代码证书；其他组织应提供合法证明文件；自然人提供身份证；</w:t>
      </w:r>
    </w:p>
    <w:p>
      <w:pPr>
        <w:pStyle w:val="null3"/>
      </w:pPr>
      <w:r>
        <w:rPr>
          <w:rFonts w:ascii="仿宋_GB2312" w:hAnsi="仿宋_GB2312" w:cs="仿宋_GB2312" w:eastAsia="仿宋_GB2312"/>
        </w:rPr>
        <w:t>3、法定代表人授权委托书（附法定代表人、被授权人身份证复印件或扫描件）；法定代表人参加投标只须提供法定代表人身份证明（附法定代表人身份证复印件或扫描件）：法定代表人授权委托书（附法定代表人、被授权人身份证复印件或扫描件）；法定代表人参加投标只须提供法定代表人身份证明（附法定代表人身份证复印件或扫描件）；</w:t>
      </w:r>
    </w:p>
    <w:p>
      <w:pPr>
        <w:pStyle w:val="null3"/>
      </w:pPr>
      <w:r>
        <w:rPr>
          <w:rFonts w:ascii="仿宋_GB2312" w:hAnsi="仿宋_GB2312" w:cs="仿宋_GB2312" w:eastAsia="仿宋_GB2312"/>
        </w:rPr>
        <w:t>4、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w:t>
      </w:r>
    </w:p>
    <w:p>
      <w:pPr>
        <w:pStyle w:val="null3"/>
      </w:pPr>
      <w:r>
        <w:rPr>
          <w:rFonts w:ascii="仿宋_GB2312" w:hAnsi="仿宋_GB2312" w:cs="仿宋_GB2312" w:eastAsia="仿宋_GB2312"/>
        </w:rPr>
        <w:t>5、提供单位负责人为同一人或者存在直接控股、管理关系的不同供应商，不得参加同一合同项下的政府采购活动的书面声明：提供单位负责人为同一人或者存在直接控股、管理关系的不同供应商，不得参加同一合同项下的政府采购活动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西安市阎良区文化和旅游体育局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阎良区蓝天路文体中心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029-81664491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15319096809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李艳群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采购包1：2,250,000.00元</w:t>
            </w:r>
          </w:p>
          <w:p>
            <w:pPr>
              <w:pStyle w:val="null3"/>
            </w:pPr>
            <w:r>
              <w:rPr>
                <w:rFonts w:ascii="仿宋_GB2312" w:hAnsi="仿宋_GB2312" w:cs="仿宋_GB2312" w:eastAsia="仿宋_GB2312"/>
              </w:rPr>
              <w:t>采购包2：370,000.00元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计算，按《国家发展改革委办公厅关于招标代理服务收费有关问题的通知》(发改办价格[2003]857号)规定向中标供应商收取代理服务费。若本次招标失败(非代理机构原因)，代理服务费由采购人支付。具体招标代理服务费以代理公司开具的税票金额为准，在领取中标（成交）通知书时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西安市阎良区文化和旅游体育局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西安市阎良区文化和旅游体育局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西安市阎良区文化和旅游体育局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符合现行国家法律法规、行业验收规范标准及采购人要求。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符合现行国家法律法规、行业验收规范标准及采购人要求。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联系电话：15319096809</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栎阳城遗址位于陕西省西安市阎良区，是文献所载秦献公、秦孝公时期都城，在楚汉相争之际先后为塞王司马欣、汉王刘邦的都城，在刘邦建立汉王朝后为定都长安之前的汉王朝第一座都城。由中国社会科学院考古研究所、西安市文物保护考古研究院联合组成的阿房宫与上林苑考古队在2012-2018年开展了大规模的栎阳城遗址考古，其考古成果入选2017年度全国十大考古新发现。在已整理出版《秦汉栎阳城：2012-2018年考古报告》第一至第四卷的基础上，阿房宫与上林苑考古队新近完成《秦汉栎阳城：2012-2018年考古报告》第五卷、《秦汉栎阳城：2012-2018年考古报告》第六卷、《秦汉栎阳城：2012-2018年考古报告》第七卷等三部考古报告的整理编写，拟出版印行。 陕西栎阳城遗址出土的秦汉瓦当，对研究秦汉考古、古代瓦当制度、秦汉建筑材料的生产制度等均具有重要价值，并对秦汉建筑装饰艺术研究有重要价值。有鉴于此，中国社会科学院考古研究所、西安市文物保护考古研究院在2020年出版《栎阳瓦当》的基础上，将在《栎阳瓦当》出版之后新出土、采集的各类瓦当进行了集中整理，拟编辑出版《栎阳瓦当（二）》一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2,250,000.00</w:t>
      </w:r>
    </w:p>
    <w:p>
      <w:pPr>
        <w:pStyle w:val="null3"/>
      </w:pPr>
      <w:r>
        <w:rPr>
          <w:rFonts w:ascii="仿宋_GB2312" w:hAnsi="仿宋_GB2312" w:cs="仿宋_GB2312" w:eastAsia="仿宋_GB2312"/>
        </w:rPr>
        <w:t>采购包最高限价（元）: 2,250,000.00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出版社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2,250,000.00</w:t>
            </w:r>
          </w:p>
        </w:tc>
        <w:tc>
          <w:tcPr>
            <w:tcW w:type="dxa" w:w="831"/>
          </w:tcPr>
          <w:p>
            <w:pPr>
              <w:pStyle w:val="null3"/>
            </w:pPr>
            <w:r>
              <w:rPr>
                <w:rFonts w:ascii="仿宋_GB2312" w:hAnsi="仿宋_GB2312" w:cs="仿宋_GB2312" w:eastAsia="仿宋_GB2312"/>
              </w:rPr>
              <w:t>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出版社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370,000.00</w:t>
            </w:r>
          </w:p>
        </w:tc>
        <w:tc>
          <w:tcPr>
            <w:tcW w:type="dxa" w:w="831"/>
          </w:tcPr>
          <w:p>
            <w:pPr>
              <w:pStyle w:val="null3"/>
            </w:pPr>
            <w:r>
              <w:rPr>
                <w:rFonts w:ascii="仿宋_GB2312" w:hAnsi="仿宋_GB2312" w:cs="仿宋_GB2312" w:eastAsia="仿宋_GB2312"/>
              </w:rPr>
              <w:t>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标的名称：出版社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3"/>
              <w:gridCol w:w="599"/>
              <w:gridCol w:w="1292"/>
              <w:gridCol w:w="201"/>
              <w:gridCol w:w="237"/>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书名</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书籍规格</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《秦汉栎阳城：</w:t>
                  </w:r>
                  <w:r>
                    <w:rPr>
                      <w:rFonts w:ascii="仿宋_GB2312" w:hAnsi="仿宋_GB2312" w:cs="仿宋_GB2312" w:eastAsia="仿宋_GB2312"/>
                      <w:sz w:val="24"/>
                    </w:rPr>
                    <w:t>2012-2018年考古报告》第五卷</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开本：大</w:t>
                  </w:r>
                  <w:r>
                    <w:rPr>
                      <w:rFonts w:ascii="仿宋_GB2312" w:hAnsi="仿宋_GB2312" w:cs="仿宋_GB2312" w:eastAsia="仿宋_GB2312"/>
                      <w:sz w:val="24"/>
                    </w:rPr>
                    <w:t>16开；</w:t>
                  </w:r>
                </w:p>
                <w:p>
                  <w:pPr>
                    <w:pStyle w:val="null3"/>
                    <w:jc w:val="left"/>
                  </w:pPr>
                  <w:r>
                    <w:rPr>
                      <w:rFonts w:ascii="仿宋_GB2312" w:hAnsi="仿宋_GB2312" w:cs="仿宋_GB2312" w:eastAsia="仿宋_GB2312"/>
                      <w:sz w:val="24"/>
                    </w:rPr>
                    <w:t>成书尺寸：</w:t>
                  </w:r>
                  <w:r>
                    <w:rPr>
                      <w:rFonts w:ascii="仿宋_GB2312" w:hAnsi="仿宋_GB2312" w:cs="仿宋_GB2312" w:eastAsia="仿宋_GB2312"/>
                      <w:sz w:val="24"/>
                    </w:rPr>
                    <w:t>210</w:t>
                  </w:r>
                  <w:r>
                    <w:rPr>
                      <w:rFonts w:ascii="仿宋_GB2312" w:hAnsi="仿宋_GB2312" w:cs="仿宋_GB2312" w:eastAsia="仿宋_GB2312"/>
                      <w:sz w:val="24"/>
                    </w:rPr>
                    <w:t>mm</w:t>
                  </w:r>
                  <w:r>
                    <w:rPr>
                      <w:rFonts w:ascii="仿宋_GB2312" w:hAnsi="仿宋_GB2312" w:cs="仿宋_GB2312" w:eastAsia="仿宋_GB2312"/>
                      <w:sz w:val="24"/>
                    </w:rPr>
                    <w:t>*285</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内文：</w:t>
                  </w:r>
                  <w:r>
                    <w:rPr>
                      <w:rFonts w:ascii="仿宋_GB2312" w:hAnsi="仿宋_GB2312" w:cs="仿宋_GB2312" w:eastAsia="仿宋_GB2312"/>
                      <w:sz w:val="24"/>
                    </w:rPr>
                    <w:t>9</w:t>
                  </w:r>
                  <w:r>
                    <w:rPr>
                      <w:rFonts w:ascii="仿宋_GB2312" w:hAnsi="仿宋_GB2312" w:cs="仿宋_GB2312" w:eastAsia="仿宋_GB2312"/>
                      <w:sz w:val="24"/>
                    </w:rPr>
                    <w:t>50</w:t>
                  </w:r>
                  <w:r>
                    <w:rPr>
                      <w:rFonts w:ascii="仿宋_GB2312" w:hAnsi="仿宋_GB2312" w:cs="仿宋_GB2312" w:eastAsia="仿宋_GB2312"/>
                      <w:sz w:val="24"/>
                    </w:rPr>
                    <w:t>页</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680</w:t>
                  </w:r>
                  <w:r>
                    <w:rPr>
                      <w:rFonts w:ascii="仿宋_GB2312" w:hAnsi="仿宋_GB2312" w:cs="仿宋_GB2312" w:eastAsia="仿宋_GB2312"/>
                      <w:sz w:val="24"/>
                    </w:rPr>
                    <w:t>千字</w:t>
                  </w:r>
                  <w:r>
                    <w:rPr>
                      <w:rFonts w:ascii="仿宋_GB2312" w:hAnsi="仿宋_GB2312" w:cs="仿宋_GB2312" w:eastAsia="仿宋_GB2312"/>
                      <w:sz w:val="24"/>
                    </w:rPr>
                    <w:t>,</w:t>
                  </w:r>
                  <w:r>
                    <w:rPr>
                      <w:rFonts w:ascii="仿宋_GB2312" w:hAnsi="仿宋_GB2312" w:cs="仿宋_GB2312" w:eastAsia="仿宋_GB2312"/>
                      <w:sz w:val="24"/>
                    </w:rPr>
                    <w:t>全彩印刷</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封面用纸：</w:t>
                  </w:r>
                  <w:r>
                    <w:rPr>
                      <w:rFonts w:ascii="仿宋_GB2312" w:hAnsi="仿宋_GB2312" w:cs="仿宋_GB2312" w:eastAsia="仿宋_GB2312"/>
                      <w:sz w:val="24"/>
                    </w:rPr>
                    <w:t>157g铜版纸；</w:t>
                  </w:r>
                </w:p>
                <w:p>
                  <w:pPr>
                    <w:pStyle w:val="null3"/>
                    <w:jc w:val="left"/>
                  </w:pPr>
                  <w:r>
                    <w:rPr>
                      <w:rFonts w:ascii="仿宋_GB2312" w:hAnsi="仿宋_GB2312" w:cs="仿宋_GB2312" w:eastAsia="仿宋_GB2312"/>
                      <w:sz w:val="24"/>
                    </w:rPr>
                    <w:t>环衬用纸：</w:t>
                  </w:r>
                  <w:r>
                    <w:rPr>
                      <w:rFonts w:ascii="仿宋_GB2312" w:hAnsi="仿宋_GB2312" w:cs="仿宋_GB2312" w:eastAsia="仿宋_GB2312"/>
                      <w:sz w:val="24"/>
                    </w:rPr>
                    <w:t>130g特种纸；</w:t>
                  </w:r>
                </w:p>
                <w:p>
                  <w:pPr>
                    <w:pStyle w:val="null3"/>
                    <w:jc w:val="left"/>
                  </w:pPr>
                  <w:r>
                    <w:rPr>
                      <w:rFonts w:ascii="仿宋_GB2312" w:hAnsi="仿宋_GB2312" w:cs="仿宋_GB2312" w:eastAsia="仿宋_GB2312"/>
                      <w:sz w:val="24"/>
                    </w:rPr>
                    <w:t>正文用纸：</w:t>
                  </w:r>
                  <w:r>
                    <w:rPr>
                      <w:rFonts w:ascii="仿宋_GB2312" w:hAnsi="仿宋_GB2312" w:cs="仿宋_GB2312" w:eastAsia="仿宋_GB2312"/>
                      <w:sz w:val="24"/>
                    </w:rPr>
                    <w:t>128g亚光铜版纸。</w:t>
                  </w:r>
                </w:p>
                <w:p>
                  <w:pPr>
                    <w:pStyle w:val="null3"/>
                    <w:jc w:val="left"/>
                  </w:pPr>
                  <w:r>
                    <w:rPr>
                      <w:rFonts w:ascii="仿宋_GB2312" w:hAnsi="仿宋_GB2312" w:cs="仿宋_GB2312" w:eastAsia="仿宋_GB2312"/>
                      <w:sz w:val="24"/>
                    </w:rPr>
                    <w:t>封面工艺：亚膜，</w:t>
                  </w:r>
                  <w:r>
                    <w:rPr>
                      <w:rFonts w:ascii="仿宋_GB2312" w:hAnsi="仿宋_GB2312" w:cs="仿宋_GB2312" w:eastAsia="仿宋_GB2312"/>
                      <w:sz w:val="24"/>
                    </w:rPr>
                    <w:t>uv或烫印等（视具体情况而定）</w:t>
                  </w:r>
                </w:p>
                <w:p>
                  <w:pPr>
                    <w:pStyle w:val="null3"/>
                    <w:jc w:val="left"/>
                  </w:pPr>
                  <w:r>
                    <w:rPr>
                      <w:rFonts w:ascii="仿宋_GB2312" w:hAnsi="仿宋_GB2312" w:cs="仿宋_GB2312" w:eastAsia="仿宋_GB2312"/>
                      <w:sz w:val="24"/>
                    </w:rPr>
                    <w:t>包装：塑封，装箱</w:t>
                  </w:r>
                  <w:r>
                    <w:rPr>
                      <w:rFonts w:ascii="仿宋_GB2312" w:hAnsi="仿宋_GB2312" w:cs="仿宋_GB2312" w:eastAsia="仿宋_GB2312"/>
                      <w:sz w:val="24"/>
                    </w:rPr>
                    <w:t>;免费运输。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秦汉栎阳城：</w:t>
                  </w:r>
                  <w:r>
                    <w:rPr>
                      <w:rFonts w:ascii="仿宋_GB2312" w:hAnsi="仿宋_GB2312" w:cs="仿宋_GB2312" w:eastAsia="仿宋_GB2312"/>
                      <w:sz w:val="24"/>
                    </w:rPr>
                    <w:t>2012-2018年考古报告》第六卷</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开本：大</w:t>
                  </w:r>
                  <w:r>
                    <w:rPr>
                      <w:rFonts w:ascii="仿宋_GB2312" w:hAnsi="仿宋_GB2312" w:cs="仿宋_GB2312" w:eastAsia="仿宋_GB2312"/>
                      <w:sz w:val="24"/>
                    </w:rPr>
                    <w:t>16开；</w:t>
                  </w:r>
                </w:p>
                <w:p>
                  <w:pPr>
                    <w:pStyle w:val="null3"/>
                    <w:jc w:val="left"/>
                  </w:pPr>
                  <w:r>
                    <w:rPr>
                      <w:rFonts w:ascii="仿宋_GB2312" w:hAnsi="仿宋_GB2312" w:cs="仿宋_GB2312" w:eastAsia="仿宋_GB2312"/>
                      <w:sz w:val="24"/>
                    </w:rPr>
                    <w:t>成书尺寸：</w:t>
                  </w:r>
                  <w:r>
                    <w:rPr>
                      <w:rFonts w:ascii="仿宋_GB2312" w:hAnsi="仿宋_GB2312" w:cs="仿宋_GB2312" w:eastAsia="仿宋_GB2312"/>
                      <w:sz w:val="24"/>
                    </w:rPr>
                    <w:t>210</w:t>
                  </w:r>
                  <w:r>
                    <w:rPr>
                      <w:rFonts w:ascii="仿宋_GB2312" w:hAnsi="仿宋_GB2312" w:cs="仿宋_GB2312" w:eastAsia="仿宋_GB2312"/>
                      <w:sz w:val="24"/>
                    </w:rPr>
                    <w:t>mm</w:t>
                  </w:r>
                  <w:r>
                    <w:rPr>
                      <w:rFonts w:ascii="仿宋_GB2312" w:hAnsi="仿宋_GB2312" w:cs="仿宋_GB2312" w:eastAsia="仿宋_GB2312"/>
                      <w:sz w:val="24"/>
                    </w:rPr>
                    <w:t>*285</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内文：</w:t>
                  </w:r>
                  <w:r>
                    <w:rPr>
                      <w:rFonts w:ascii="仿宋_GB2312" w:hAnsi="仿宋_GB2312" w:cs="仿宋_GB2312" w:eastAsia="仿宋_GB2312"/>
                      <w:sz w:val="24"/>
                    </w:rPr>
                    <w:t>250</w:t>
                  </w:r>
                  <w:r>
                    <w:rPr>
                      <w:rFonts w:ascii="仿宋_GB2312" w:hAnsi="仿宋_GB2312" w:cs="仿宋_GB2312" w:eastAsia="仿宋_GB2312"/>
                      <w:sz w:val="24"/>
                    </w:rPr>
                    <w:t>0页，</w:t>
                  </w:r>
                  <w:r>
                    <w:rPr>
                      <w:rFonts w:ascii="仿宋_GB2312" w:hAnsi="仿宋_GB2312" w:cs="仿宋_GB2312" w:eastAsia="仿宋_GB2312"/>
                      <w:sz w:val="24"/>
                    </w:rPr>
                    <w:t>4410千字</w:t>
                  </w:r>
                  <w:r>
                    <w:rPr>
                      <w:rFonts w:ascii="仿宋_GB2312" w:hAnsi="仿宋_GB2312" w:cs="仿宋_GB2312" w:eastAsia="仿宋_GB2312"/>
                      <w:sz w:val="24"/>
                    </w:rPr>
                    <w:t>，</w:t>
                  </w:r>
                  <w:r>
                    <w:rPr>
                      <w:rFonts w:ascii="仿宋_GB2312" w:hAnsi="仿宋_GB2312" w:cs="仿宋_GB2312" w:eastAsia="仿宋_GB2312"/>
                      <w:sz w:val="24"/>
                    </w:rPr>
                    <w:t>全彩印刷</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封面用纸：</w:t>
                  </w:r>
                  <w:r>
                    <w:rPr>
                      <w:rFonts w:ascii="仿宋_GB2312" w:hAnsi="仿宋_GB2312" w:cs="仿宋_GB2312" w:eastAsia="仿宋_GB2312"/>
                      <w:sz w:val="24"/>
                    </w:rPr>
                    <w:t>157g铜版纸；</w:t>
                  </w:r>
                </w:p>
                <w:p>
                  <w:pPr>
                    <w:pStyle w:val="null3"/>
                    <w:jc w:val="left"/>
                  </w:pPr>
                  <w:r>
                    <w:rPr>
                      <w:rFonts w:ascii="仿宋_GB2312" w:hAnsi="仿宋_GB2312" w:cs="仿宋_GB2312" w:eastAsia="仿宋_GB2312"/>
                      <w:sz w:val="24"/>
                    </w:rPr>
                    <w:t>环衬用纸：</w:t>
                  </w:r>
                  <w:r>
                    <w:rPr>
                      <w:rFonts w:ascii="仿宋_GB2312" w:hAnsi="仿宋_GB2312" w:cs="仿宋_GB2312" w:eastAsia="仿宋_GB2312"/>
                      <w:sz w:val="24"/>
                    </w:rPr>
                    <w:t>130g特种纸；</w:t>
                  </w:r>
                </w:p>
                <w:p>
                  <w:pPr>
                    <w:pStyle w:val="null3"/>
                    <w:jc w:val="left"/>
                  </w:pPr>
                  <w:r>
                    <w:rPr>
                      <w:rFonts w:ascii="仿宋_GB2312" w:hAnsi="仿宋_GB2312" w:cs="仿宋_GB2312" w:eastAsia="仿宋_GB2312"/>
                      <w:sz w:val="24"/>
                    </w:rPr>
                    <w:t>正文用纸：</w:t>
                  </w:r>
                  <w:r>
                    <w:rPr>
                      <w:rFonts w:ascii="仿宋_GB2312" w:hAnsi="仿宋_GB2312" w:cs="仿宋_GB2312" w:eastAsia="仿宋_GB2312"/>
                      <w:sz w:val="24"/>
                    </w:rPr>
                    <w:t>128g亚光铜版纸。</w:t>
                  </w:r>
                </w:p>
                <w:p>
                  <w:pPr>
                    <w:pStyle w:val="null3"/>
                    <w:jc w:val="left"/>
                  </w:pPr>
                  <w:r>
                    <w:rPr>
                      <w:rFonts w:ascii="仿宋_GB2312" w:hAnsi="仿宋_GB2312" w:cs="仿宋_GB2312" w:eastAsia="仿宋_GB2312"/>
                      <w:sz w:val="24"/>
                    </w:rPr>
                    <w:t>封面工艺：亚膜，</w:t>
                  </w:r>
                  <w:r>
                    <w:rPr>
                      <w:rFonts w:ascii="仿宋_GB2312" w:hAnsi="仿宋_GB2312" w:cs="仿宋_GB2312" w:eastAsia="仿宋_GB2312"/>
                      <w:sz w:val="24"/>
                    </w:rPr>
                    <w:t>uv或烫印等（视具体情况而定）。</w:t>
                  </w:r>
                </w:p>
                <w:p>
                  <w:pPr>
                    <w:pStyle w:val="null3"/>
                    <w:jc w:val="left"/>
                  </w:pPr>
                  <w:r>
                    <w:rPr>
                      <w:rFonts w:ascii="仿宋_GB2312" w:hAnsi="仿宋_GB2312" w:cs="仿宋_GB2312" w:eastAsia="仿宋_GB2312"/>
                      <w:sz w:val="24"/>
                    </w:rPr>
                    <w:t>包装：塑封，装箱</w:t>
                  </w:r>
                  <w:r>
                    <w:rPr>
                      <w:rFonts w:ascii="仿宋_GB2312" w:hAnsi="仿宋_GB2312" w:cs="仿宋_GB2312" w:eastAsia="仿宋_GB2312"/>
                      <w:sz w:val="24"/>
                    </w:rPr>
                    <w:t>;免费运输。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《秦汉栎阳城：</w:t>
                  </w:r>
                  <w:r>
                    <w:rPr>
                      <w:rFonts w:ascii="仿宋_GB2312" w:hAnsi="仿宋_GB2312" w:cs="仿宋_GB2312" w:eastAsia="仿宋_GB2312"/>
                      <w:sz w:val="24"/>
                    </w:rPr>
                    <w:t>2012-2018年考古报告》第七卷</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开本：大</w:t>
                  </w:r>
                  <w:r>
                    <w:rPr>
                      <w:rFonts w:ascii="仿宋_GB2312" w:hAnsi="仿宋_GB2312" w:cs="仿宋_GB2312" w:eastAsia="仿宋_GB2312"/>
                      <w:sz w:val="24"/>
                    </w:rPr>
                    <w:t>16开；</w:t>
                  </w:r>
                </w:p>
                <w:p>
                  <w:pPr>
                    <w:pStyle w:val="null3"/>
                    <w:jc w:val="left"/>
                  </w:pPr>
                  <w:r>
                    <w:rPr>
                      <w:rFonts w:ascii="仿宋_GB2312" w:hAnsi="仿宋_GB2312" w:cs="仿宋_GB2312" w:eastAsia="仿宋_GB2312"/>
                      <w:sz w:val="24"/>
                    </w:rPr>
                    <w:t>成书尺寸：</w:t>
                  </w:r>
                  <w:r>
                    <w:rPr>
                      <w:rFonts w:ascii="仿宋_GB2312" w:hAnsi="仿宋_GB2312" w:cs="仿宋_GB2312" w:eastAsia="仿宋_GB2312"/>
                      <w:sz w:val="24"/>
                    </w:rPr>
                    <w:t>210</w:t>
                  </w:r>
                  <w:r>
                    <w:rPr>
                      <w:rFonts w:ascii="仿宋_GB2312" w:hAnsi="仿宋_GB2312" w:cs="仿宋_GB2312" w:eastAsia="仿宋_GB2312"/>
                      <w:sz w:val="24"/>
                    </w:rPr>
                    <w:t>mm</w:t>
                  </w:r>
                  <w:r>
                    <w:rPr>
                      <w:rFonts w:ascii="仿宋_GB2312" w:hAnsi="仿宋_GB2312" w:cs="仿宋_GB2312" w:eastAsia="仿宋_GB2312"/>
                      <w:sz w:val="24"/>
                    </w:rPr>
                    <w:t>*285</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内文：</w:t>
                  </w:r>
                  <w:r>
                    <w:rPr>
                      <w:rFonts w:ascii="仿宋_GB2312" w:hAnsi="仿宋_GB2312" w:cs="仿宋_GB2312" w:eastAsia="仿宋_GB2312"/>
                      <w:sz w:val="24"/>
                    </w:rPr>
                    <w:t>1050p，1850千字</w:t>
                  </w:r>
                  <w:r>
                    <w:rPr>
                      <w:rFonts w:ascii="仿宋_GB2312" w:hAnsi="仿宋_GB2312" w:cs="仿宋_GB2312" w:eastAsia="仿宋_GB2312"/>
                      <w:sz w:val="24"/>
                    </w:rPr>
                    <w:t>，</w:t>
                  </w:r>
                  <w:r>
                    <w:rPr>
                      <w:rFonts w:ascii="仿宋_GB2312" w:hAnsi="仿宋_GB2312" w:cs="仿宋_GB2312" w:eastAsia="仿宋_GB2312"/>
                      <w:sz w:val="24"/>
                    </w:rPr>
                    <w:t>全彩印刷</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封面用纸：</w:t>
                  </w:r>
                  <w:r>
                    <w:rPr>
                      <w:rFonts w:ascii="仿宋_GB2312" w:hAnsi="仿宋_GB2312" w:cs="仿宋_GB2312" w:eastAsia="仿宋_GB2312"/>
                      <w:sz w:val="24"/>
                    </w:rPr>
                    <w:t>157g铜版纸；</w:t>
                  </w:r>
                </w:p>
                <w:p>
                  <w:pPr>
                    <w:pStyle w:val="null3"/>
                    <w:jc w:val="left"/>
                  </w:pPr>
                  <w:r>
                    <w:rPr>
                      <w:rFonts w:ascii="仿宋_GB2312" w:hAnsi="仿宋_GB2312" w:cs="仿宋_GB2312" w:eastAsia="仿宋_GB2312"/>
                      <w:sz w:val="24"/>
                    </w:rPr>
                    <w:t>环衬用纸：</w:t>
                  </w:r>
                  <w:r>
                    <w:rPr>
                      <w:rFonts w:ascii="仿宋_GB2312" w:hAnsi="仿宋_GB2312" w:cs="仿宋_GB2312" w:eastAsia="仿宋_GB2312"/>
                      <w:sz w:val="24"/>
                    </w:rPr>
                    <w:t>130g特种纸；</w:t>
                  </w:r>
                </w:p>
                <w:p>
                  <w:pPr>
                    <w:pStyle w:val="null3"/>
                    <w:jc w:val="left"/>
                  </w:pPr>
                  <w:r>
                    <w:rPr>
                      <w:rFonts w:ascii="仿宋_GB2312" w:hAnsi="仿宋_GB2312" w:cs="仿宋_GB2312" w:eastAsia="仿宋_GB2312"/>
                      <w:sz w:val="24"/>
                    </w:rPr>
                    <w:t>正文用纸：</w:t>
                  </w:r>
                  <w:r>
                    <w:rPr>
                      <w:rFonts w:ascii="仿宋_GB2312" w:hAnsi="仿宋_GB2312" w:cs="仿宋_GB2312" w:eastAsia="仿宋_GB2312"/>
                      <w:sz w:val="24"/>
                    </w:rPr>
                    <w:t>128g亚光铜版纸。</w:t>
                  </w:r>
                </w:p>
                <w:p>
                  <w:pPr>
                    <w:pStyle w:val="null3"/>
                    <w:jc w:val="left"/>
                  </w:pPr>
                  <w:r>
                    <w:rPr>
                      <w:rFonts w:ascii="仿宋_GB2312" w:hAnsi="仿宋_GB2312" w:cs="仿宋_GB2312" w:eastAsia="仿宋_GB2312"/>
                      <w:sz w:val="24"/>
                    </w:rPr>
                    <w:t>封面工艺：亚膜，</w:t>
                  </w:r>
                  <w:r>
                    <w:rPr>
                      <w:rFonts w:ascii="仿宋_GB2312" w:hAnsi="仿宋_GB2312" w:cs="仿宋_GB2312" w:eastAsia="仿宋_GB2312"/>
                      <w:sz w:val="24"/>
                    </w:rPr>
                    <w:t>uv或烫印等（视具体情况而定）。</w:t>
                  </w:r>
                </w:p>
                <w:p>
                  <w:pPr>
                    <w:pStyle w:val="null3"/>
                    <w:jc w:val="left"/>
                  </w:pPr>
                  <w:r>
                    <w:rPr>
                      <w:rFonts w:ascii="仿宋_GB2312" w:hAnsi="仿宋_GB2312" w:cs="仿宋_GB2312" w:eastAsia="仿宋_GB2312"/>
                      <w:sz w:val="24"/>
                    </w:rPr>
                    <w:t>包装：塑封，装箱</w:t>
                  </w:r>
                  <w:r>
                    <w:rPr>
                      <w:rFonts w:ascii="仿宋_GB2312" w:hAnsi="仿宋_GB2312" w:cs="仿宋_GB2312" w:eastAsia="仿宋_GB2312"/>
                      <w:sz w:val="24"/>
                    </w:rPr>
                    <w:t>;免费运输。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标的名称：出版社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3"/>
              <w:gridCol w:w="599"/>
              <w:gridCol w:w="1292"/>
              <w:gridCol w:w="201"/>
              <w:gridCol w:w="237"/>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书名</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书籍规格</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《栎阳瓦当（二）》</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开本：</w:t>
                  </w:r>
                  <w:r>
                    <w:rPr>
                      <w:rFonts w:ascii="仿宋_GB2312" w:hAnsi="仿宋_GB2312" w:cs="仿宋_GB2312" w:eastAsia="仿宋_GB2312"/>
                      <w:sz w:val="24"/>
                    </w:rPr>
                    <w:t>大</w:t>
                  </w:r>
                  <w:r>
                    <w:rPr>
                      <w:rFonts w:ascii="仿宋_GB2312" w:hAnsi="仿宋_GB2312" w:cs="仿宋_GB2312" w:eastAsia="仿宋_GB2312"/>
                      <w:sz w:val="24"/>
                    </w:rPr>
                    <w:t>16开</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成品尺寸：</w:t>
                  </w:r>
                  <w:r>
                    <w:rPr>
                      <w:rFonts w:ascii="仿宋_GB2312" w:hAnsi="仿宋_GB2312" w:cs="仿宋_GB2312" w:eastAsia="仿宋_GB2312"/>
                      <w:sz w:val="24"/>
                    </w:rPr>
                    <w:t>210</w:t>
                  </w:r>
                  <w:r>
                    <w:rPr>
                      <w:rFonts w:ascii="仿宋_GB2312" w:hAnsi="仿宋_GB2312" w:cs="仿宋_GB2312" w:eastAsia="仿宋_GB2312"/>
                      <w:sz w:val="24"/>
                    </w:rPr>
                    <w:t>mm</w:t>
                  </w:r>
                  <w:r>
                    <w:rPr>
                      <w:rFonts w:ascii="仿宋_GB2312" w:hAnsi="仿宋_GB2312" w:cs="仿宋_GB2312" w:eastAsia="仿宋_GB2312"/>
                      <w:sz w:val="24"/>
                    </w:rPr>
                    <w:t>×285</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内文：</w:t>
                  </w:r>
                  <w:r>
                    <w:rPr>
                      <w:rFonts w:ascii="仿宋_GB2312" w:hAnsi="仿宋_GB2312" w:cs="仿宋_GB2312" w:eastAsia="仿宋_GB2312"/>
                      <w:sz w:val="24"/>
                    </w:rPr>
                    <w:t>688页</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80</w:t>
                  </w:r>
                  <w:r>
                    <w:rPr>
                      <w:rFonts w:ascii="仿宋_GB2312" w:hAnsi="仿宋_GB2312" w:cs="仿宋_GB2312" w:eastAsia="仿宋_GB2312"/>
                      <w:sz w:val="24"/>
                    </w:rPr>
                    <w:t>千字</w:t>
                  </w:r>
                  <w:r>
                    <w:rPr>
                      <w:rFonts w:ascii="仿宋_GB2312" w:hAnsi="仿宋_GB2312" w:cs="仿宋_GB2312" w:eastAsia="仿宋_GB2312"/>
                      <w:sz w:val="24"/>
                    </w:rPr>
                    <w:t>,</w:t>
                  </w:r>
                  <w:r>
                    <w:rPr>
                      <w:rFonts w:ascii="仿宋_GB2312" w:hAnsi="仿宋_GB2312" w:cs="仿宋_GB2312" w:eastAsia="仿宋_GB2312"/>
                      <w:sz w:val="24"/>
                    </w:rPr>
                    <w:t>全彩印刷</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封面用纸：</w:t>
                  </w:r>
                  <w:r>
                    <w:rPr>
                      <w:rFonts w:ascii="仿宋_GB2312" w:hAnsi="仿宋_GB2312" w:cs="仿宋_GB2312" w:eastAsia="仿宋_GB2312"/>
                      <w:sz w:val="24"/>
                    </w:rPr>
                    <w:t>200克艺术纸</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环衬用纸</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0g特种纸；</w:t>
                  </w:r>
                </w:p>
                <w:p>
                  <w:pPr>
                    <w:pStyle w:val="null3"/>
                    <w:jc w:val="left"/>
                  </w:pPr>
                  <w:r>
                    <w:rPr>
                      <w:rFonts w:ascii="仿宋_GB2312" w:hAnsi="仿宋_GB2312" w:cs="仿宋_GB2312" w:eastAsia="仿宋_GB2312"/>
                      <w:sz w:val="24"/>
                    </w:rPr>
                    <w:t>正文用纸：</w:t>
                  </w:r>
                  <w:r>
                    <w:rPr>
                      <w:rFonts w:ascii="仿宋_GB2312" w:hAnsi="仿宋_GB2312" w:cs="仿宋_GB2312" w:eastAsia="仿宋_GB2312"/>
                      <w:sz w:val="24"/>
                    </w:rPr>
                    <w:t>128克艺术纸</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板材：</w:t>
                  </w:r>
                  <w:r>
                    <w:rPr>
                      <w:rFonts w:ascii="仿宋_GB2312" w:hAnsi="仿宋_GB2312" w:cs="仿宋_GB2312" w:eastAsia="仿宋_GB2312"/>
                      <w:sz w:val="24"/>
                    </w:rPr>
                    <w:t>3mm灰板</w:t>
                  </w:r>
                </w:p>
                <w:p>
                  <w:pPr>
                    <w:pStyle w:val="null3"/>
                    <w:jc w:val="left"/>
                  </w:pPr>
                  <w:r>
                    <w:rPr>
                      <w:rFonts w:ascii="仿宋_GB2312" w:hAnsi="仿宋_GB2312" w:cs="仿宋_GB2312" w:eastAsia="仿宋_GB2312"/>
                      <w:sz w:val="24"/>
                    </w:rPr>
                    <w:t>封面</w:t>
                  </w:r>
                  <w:r>
                    <w:rPr>
                      <w:rFonts w:ascii="仿宋_GB2312" w:hAnsi="仿宋_GB2312" w:cs="仿宋_GB2312" w:eastAsia="仿宋_GB2312"/>
                      <w:sz w:val="24"/>
                    </w:rPr>
                    <w:t>工艺：亚膜、烫金银、塑封等（以双方最终确认设计方案为准）。</w:t>
                  </w:r>
                </w:p>
                <w:p>
                  <w:pPr>
                    <w:pStyle w:val="null3"/>
                    <w:jc w:val="left"/>
                  </w:pPr>
                  <w:r>
                    <w:rPr>
                      <w:rFonts w:ascii="仿宋_GB2312" w:hAnsi="仿宋_GB2312" w:cs="仿宋_GB2312" w:eastAsia="仿宋_GB2312"/>
                      <w:sz w:val="24"/>
                    </w:rPr>
                    <w:t>包装：塑封，装箱</w:t>
                  </w:r>
                  <w:r>
                    <w:rPr>
                      <w:rFonts w:ascii="仿宋_GB2312" w:hAnsi="仿宋_GB2312" w:cs="仿宋_GB2312" w:eastAsia="仿宋_GB2312"/>
                      <w:sz w:val="24"/>
                    </w:rPr>
                    <w:t>;免费运输。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满足采购人使用要求。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满足采购人使用要求。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签订合同时另行约定。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签订合同时另行约定。</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合同签订之日起1年（具体以实际签订合同约定为准）。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合同签订之日起1年（具体以实际签订合同约定为准）。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符合现行国家法律法规、行业验收规范标准及采购人要求，须通过采购人组织的最终验收标准。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符合现行国家法律法规、行业验收规范标准及采购人要求，须通过采购人组织的最终验收标准。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采购人有权终止合同，依法向中标供应商进行经济索赔，并报请政府采购监管部门进行相应的行政处罚。采购人违约的，应当赔偿给中标供应商造成的经济损失。 合同执行中发生争议的，当事人双方应协商解决，协商达不成一致时，可向人民法院提请诉讼。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采购人有权终止合同，依法向中标供应商进行经济索赔，并报请政府采购监管部门进行相应的行政处罚。采购人违约的，应当赔偿给中标供应商造成的经济损失。 合同执行中发生争议的，当事人双方应协商解决，协商达不成一致时，可向人民法院提请诉讼。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供应商无需提供纸质版投标文件。中标供应商在领取中标（成交）通知书前将纸质版投标文件3份打印盖章后提交至采购代理机构，以便采购人进行留存备案等工作。纸质版投标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关于促进政府采购公平竞争优化营商环境的通知》（财库〔2019〕38号）；（7）《财政部 农业农村部 国家乡村振兴局关于运用政府采购政策支持乡村产业振兴的通知》（财库〔2021〕19号）；（8）陕西省财政厅《关于进一步加强政府绿色采购有关问题的通知》（陕财办采〔2021〕29号）； （9）陕西省财政厅关于印发《陕西省中小企业政府采购信用融资办法》（陕财办采〔2018〕23号）；（10）《陕西省财政厅关于加快推进我省中小企业政府采购信用融资工作的通知》（陕财办采〔2020〕15号）； （11）《政府采购促进中小企业发展管理办法》（财库〔2020〕46号）； （12）《关于进一步加大政府采购支持中小企业力度的通知》（财库〔2022〕19号）； （13）《陕西省财政厅关于进一步落实政府采购支持中小企业相关政策的通知》（陕财办采〔2023〕3号）； （14）《陕西省财政厅关于进一步优化政府采购营商环境有关事项的通知》（陕财办采〔2023〕4号）。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供应商特定资格要求.docx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供应商特定资格要求.docx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根据《陕西省财政厅关于进一步优化政府采购营商环境有关事项的通知》(陕财办采[2023]4号)文件精神，对供应商基本资格条件实行“承诺+信用管理”，供应商按要求提供基本资格条件承诺函</w:t>
            </w:r>
          </w:p>
        </w:tc>
        <w:tc>
          <w:tcPr>
            <w:tcW w:type="dxa" w:w="3322"/>
          </w:tcPr>
          <w:p>
            <w:pPr>
              <w:pStyle w:val="null3"/>
            </w:pPr>
            <w:r>
              <w:rPr>
                <w:rFonts w:ascii="仿宋_GB2312" w:hAnsi="仿宋_GB2312" w:cs="仿宋_GB2312" w:eastAsia="仿宋_GB2312"/>
              </w:rPr>
              <w:t>根据《陕西省财政厅关于进一步优化政府采购营商环境有关事项的通知》(陕财办采[2023]4号)文件精神，对供应商基本资格条件实行“承诺+信用管理”，供应商按要求提供基本资格条件承诺函；</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合法注册的企业提供营业执照（有统一社会信用代码）并附企业年度报告；事业法人提供事业单位法人证书、组织机构代码证书；其他组织应提供合法证明文件；自然人提供身份证</w:t>
            </w:r>
          </w:p>
        </w:tc>
        <w:tc>
          <w:tcPr>
            <w:tcW w:type="dxa" w:w="3322"/>
          </w:tcPr>
          <w:p>
            <w:pPr>
              <w:pStyle w:val="null3"/>
            </w:pPr>
            <w:r>
              <w:rPr>
                <w:rFonts w:ascii="仿宋_GB2312" w:hAnsi="仿宋_GB2312" w:cs="仿宋_GB2312" w:eastAsia="仿宋_GB2312"/>
              </w:rPr>
              <w:t>合法注册的企业提供营业执照（有统一社会信用代码）并附企业年度报告；事业法人提供事业单位法人证书、组织机构代码证书；其他组织应提供合法证明文件；自然人提供身份证；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法定代表人授权委托书（附法定代表人、被授权人身份证复印件或扫描件）；法定代表人参加投标只须提供法定代表人身份证明（附法定代表人身份证复印件或扫描件）</w:t>
            </w:r>
          </w:p>
        </w:tc>
        <w:tc>
          <w:tcPr>
            <w:tcW w:type="dxa" w:w="3322"/>
          </w:tcPr>
          <w:p>
            <w:pPr>
              <w:pStyle w:val="null3"/>
            </w:pPr>
            <w:r>
              <w:rPr>
                <w:rFonts w:ascii="仿宋_GB2312" w:hAnsi="仿宋_GB2312" w:cs="仿宋_GB2312" w:eastAsia="仿宋_GB2312"/>
              </w:rPr>
              <w:t>法定代表人授权委托书（附法定代表人、被授权人身份证复印件或扫描件）；法定代表人参加投标只须提供法定代表人身份证明（附法定代表人身份证复印件或扫描件）；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根据《陕西省财政厅关于进一步优化政府采购营商环境有关事项的通知》(陕财办采[2023]4号)文件精神，对供应商基本资格条件实行“承诺+信用管理”，供应商按要求提供基本资格条件承诺函</w:t>
            </w:r>
          </w:p>
        </w:tc>
        <w:tc>
          <w:tcPr>
            <w:tcW w:type="dxa" w:w="3322"/>
          </w:tcPr>
          <w:p>
            <w:pPr>
              <w:pStyle w:val="null3"/>
            </w:pPr>
            <w:r>
              <w:rPr>
                <w:rFonts w:ascii="仿宋_GB2312" w:hAnsi="仿宋_GB2312" w:cs="仿宋_GB2312" w:eastAsia="仿宋_GB2312"/>
              </w:rPr>
              <w:t>根据《陕西省财政厅关于进一步优化政府采购营商环境有关事项的通知》(陕财办采[2023]4号)文件精神，对供应商基本资格条件实行“承诺+信用管理”，供应商按要求提供基本资格条件承诺函；</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合法注册的企业提供营业执照（有统一社会信用代码）并附企业年度报告；事业法人提供事业单位法人证书、组织机构代码证书；其他组织应提供合法证明文件；自然人提供身份证</w:t>
            </w:r>
          </w:p>
        </w:tc>
        <w:tc>
          <w:tcPr>
            <w:tcW w:type="dxa" w:w="3322"/>
          </w:tcPr>
          <w:p>
            <w:pPr>
              <w:pStyle w:val="null3"/>
            </w:pPr>
            <w:r>
              <w:rPr>
                <w:rFonts w:ascii="仿宋_GB2312" w:hAnsi="仿宋_GB2312" w:cs="仿宋_GB2312" w:eastAsia="仿宋_GB2312"/>
              </w:rPr>
              <w:t>合法注册的企业提供营业执照（有统一社会信用代码）并附企业年度报告；事业法人提供事业单位法人证书、组织机构代码证书；其他组织应提供合法证明文件；自然人提供身份证；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法定代表人授权委托书（附法定代表人、被授权人身份证复印件或扫描件）；法定代表人参加投标只须提供法定代表人身份证明（附法定代表人身份证复印件或扫描件）</w:t>
            </w:r>
          </w:p>
        </w:tc>
        <w:tc>
          <w:tcPr>
            <w:tcW w:type="dxa" w:w="3322"/>
          </w:tcPr>
          <w:p>
            <w:pPr>
              <w:pStyle w:val="null3"/>
            </w:pPr>
            <w:r>
              <w:rPr>
                <w:rFonts w:ascii="仿宋_GB2312" w:hAnsi="仿宋_GB2312" w:cs="仿宋_GB2312" w:eastAsia="仿宋_GB2312"/>
              </w:rPr>
              <w:t>法定代表人授权委托书（附法定代表人、被授权人身份证复印件或扫描件）；法定代表人参加投标只须提供法定代表人身份证明（附法定代表人身份证复印件或扫描件）；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供应商报价明显低于其他实质性响应的供应商报价，有可能影响产品质量或者不能诚信履约的，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服务内容及商务响应偏离表.docx 开标一览表 中小企业声明函 承诺书.docx 技术部分.docx 近年完成的类似项目情况表.docx 投标函 残疾人福利性单位声明函 供应商认为有必要说明的其他问题.docx 标的清单 投标文件封面 供应商特定资格要求.docx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报价唯一，且不能高于最高限价。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投标文件的签署、加盖印章是否合格、有效。</w:t>
            </w:r>
          </w:p>
        </w:tc>
        <w:tc>
          <w:tcPr>
            <w:tcW w:type="dxa" w:w="1661"/>
          </w:tcPr>
          <w:p>
            <w:pPr>
              <w:pStyle w:val="null3"/>
            </w:pPr>
            <w:r>
              <w:rPr>
                <w:rFonts w:ascii="仿宋_GB2312" w:hAnsi="仿宋_GB2312" w:cs="仿宋_GB2312" w:eastAsia="仿宋_GB2312"/>
              </w:rPr>
              <w:t>服务内容及商务响应偏离表.docx 开标一览表 中小企业声明函 承诺书.docx 技术部分.docx 近年完成的类似项目情况表.docx 投标函 残疾人福利性单位声明函 供应商认为有必要说明的其他问题.docx 标的清单 投标文件封面 供应商特定资格要求.docx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服务内容及商务响应偏离表.docx 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服务内容及商务响应偏离表.docx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服务内容及商务响应偏离表.docx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 其他无效情形</w:t>
            </w:r>
          </w:p>
        </w:tc>
        <w:tc>
          <w:tcPr>
            <w:tcW w:type="dxa" w:w="3322"/>
          </w:tcPr>
          <w:p>
            <w:pPr>
              <w:pStyle w:val="null3"/>
            </w:pPr>
            <w:r>
              <w:rPr>
                <w:rFonts w:ascii="仿宋_GB2312" w:hAnsi="仿宋_GB2312" w:cs="仿宋_GB2312" w:eastAsia="仿宋_GB2312"/>
              </w:rPr>
              <w:t>法律、法规和招标文件规定的 其他无效情形。</w:t>
            </w:r>
          </w:p>
        </w:tc>
        <w:tc>
          <w:tcPr>
            <w:tcW w:type="dxa" w:w="1661"/>
          </w:tcPr>
          <w:p>
            <w:pPr>
              <w:pStyle w:val="null3"/>
            </w:pPr>
            <w:r>
              <w:rPr>
                <w:rFonts w:ascii="仿宋_GB2312" w:hAnsi="仿宋_GB2312" w:cs="仿宋_GB2312" w:eastAsia="仿宋_GB2312"/>
              </w:rPr>
              <w:t>服务内容及商务响应偏离表.docx 开标一览表 中小企业声明函 承诺书.docx 技术部分.docx 近年完成的类似项目情况表.docx 投标函 残疾人福利性单位声明函 供应商认为有必要说明的其他问题.docx 标的清单 投标文件封面 供应商特定资格要求.docx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供应商报价明显低于其他实质性响应的供应商报价，有可能影响产品质量或者不能诚信履约的，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服务内容及商务响应偏离表.docx 开标一览表 中小企业声明函 承诺书.docx 技术部分.docx 近年完成的类似项目情况表.docx 投标函 残疾人福利性单位声明函 供应商认为有必要说明的其他问题.docx 标的清单 投标文件封面 供应商特定资格要求.docx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报价唯一，且不能高于最高限价。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投标文件的签署、加盖印章是否合格、有效。</w:t>
            </w:r>
          </w:p>
        </w:tc>
        <w:tc>
          <w:tcPr>
            <w:tcW w:type="dxa" w:w="1661"/>
          </w:tcPr>
          <w:p>
            <w:pPr>
              <w:pStyle w:val="null3"/>
            </w:pPr>
            <w:r>
              <w:rPr>
                <w:rFonts w:ascii="仿宋_GB2312" w:hAnsi="仿宋_GB2312" w:cs="仿宋_GB2312" w:eastAsia="仿宋_GB2312"/>
              </w:rPr>
              <w:t>服务内容及商务响应偏离表.docx 开标一览表 中小企业声明函 承诺书.docx 技术部分.docx 近年完成的类似项目情况表.docx 投标函 残疾人福利性单位声明函 供应商认为有必要说明的其他问题.docx 标的清单 投标文件封面 供应商特定资格要求.docx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服务内容及商务响应偏离表.docx 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服务内容及商务响应偏离表.docx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服务内容及商务响应偏离表.docx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 其他无效情形</w:t>
            </w:r>
          </w:p>
        </w:tc>
        <w:tc>
          <w:tcPr>
            <w:tcW w:type="dxa" w:w="3322"/>
          </w:tcPr>
          <w:p>
            <w:pPr>
              <w:pStyle w:val="null3"/>
            </w:pPr>
            <w:r>
              <w:rPr>
                <w:rFonts w:ascii="仿宋_GB2312" w:hAnsi="仿宋_GB2312" w:cs="仿宋_GB2312" w:eastAsia="仿宋_GB2312"/>
              </w:rPr>
              <w:t>法律、法规和招标文件规定的 其他无效情形。</w:t>
            </w:r>
          </w:p>
        </w:tc>
        <w:tc>
          <w:tcPr>
            <w:tcW w:type="dxa" w:w="1661"/>
          </w:tcPr>
          <w:p>
            <w:pPr>
              <w:pStyle w:val="null3"/>
            </w:pPr>
            <w:r>
              <w:rPr>
                <w:rFonts w:ascii="仿宋_GB2312" w:hAnsi="仿宋_GB2312" w:cs="仿宋_GB2312" w:eastAsia="仿宋_GB2312"/>
              </w:rPr>
              <w:t>服务内容及商务响应偏离表.docx 开标一览表 中小企业声明函 承诺书.docx 技术部分.docx 近年完成的类似项目情况表.docx 投标函 残疾人福利性单位声明函 供应商认为有必要说明的其他问题.docx 标的清单 投标文件封面 供应商特定资格要求.docx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一、评审内容：针对本项目提供完整详细的服务方案。内容包含但不限于：①工作整体计划②照排与装帧设计③编辑加工流程④印刷与装帧⑤图书审核及交付。 二、评审标准： 1、完整性：方案须全面，对评审内容中的各项要求有详细描述；2、可实施性：切合本项目实际情况，实施步骤清晰、合理； 3、针对性：方案能够紧扣项目实际情况，内容科学合理。 三、赋分标准（满分30分） ①工作整体计划，每完全满足一个评审标准得2分，满分6分。②照排与装帧设计，每完全满足一个评审标准得2分，满分6分。③编辑加工流程，每完全满足一个评审标准得2分，满分6分。④印刷与装帧，每完全满足一个评审标准得2分，满分6分。⑤图书审核及交付，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质量管理体系保障措施</w:t>
            </w:r>
          </w:p>
        </w:tc>
        <w:tc>
          <w:tcPr>
            <w:tcW w:type="dxa" w:w="2492"/>
          </w:tcPr>
          <w:p>
            <w:pPr>
              <w:pStyle w:val="null3"/>
            </w:pPr>
            <w:r>
              <w:rPr>
                <w:rFonts w:ascii="仿宋_GB2312" w:hAnsi="仿宋_GB2312" w:cs="仿宋_GB2312" w:eastAsia="仿宋_GB2312"/>
              </w:rPr>
              <w:t>一、评审内容：针对本项目提供完整详细的质量管理体系保障措施。内容包含但不限于：①质量控制总体目标②编校质量。二、评审标准：1、完整性：方案须全面，对评审内容中的各项要求有详细描述；2、可实施性：切合本项目实际情况，实施步骤清晰、合理； 3、针对性：方案能够紧扣项目实际情况，内容科学合理。三、赋分标准（满分12分）①质量控制总体目标，每完全满足一个评审标准得2分，满分6分。②编校质量，每完全满足一个评审标准得2分，满分6分。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针对本项目提供完整详细的进度计划及保证措施。内容包含但不限于：①总体进度计划②具体进度保证保障措施；二、评审标准：1、完整性：方案须全面，对评审内容中的各项要求有详细描述；2、可实施性：切合本项目实际情况，实施步骤清晰、合理； 3、针对性：方案能够紧扣项目实际情况，内容科学合理。三、赋分标准：（满分12分）①总体进度计划，每完全满足一个评审标准得2分，满分6分。②具体进度保证保障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提供完整详细的应急预案。内容包含但不限于：①针对本项目服务过程突发和临时事件的预计、应急处理能力；②响应时限、突发情况人员替补、预防措施、现场组织协调能力等。二、评审标准：1、完整性：方案须全面，对评审内容中的各项要求有详细描述；2、可实施性：切合本项目实际情况，实施步骤清晰、合理； 3、针对性：方案能够紧扣项目实际情况，内容科学合理。三、赋分标准（满分6分） ①针对本项目服务过程突发和临时事件的预计、应急处理能力：每完全满足一个评审标准得1分，满分3分； ②响应时限、突发情况人员替补、预防措施、现场组织协调能力等：每完全满足一个评审标准得1分，满分3分。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完整详细的服务承诺。内容包含但不限于：①服务质量保证承诺②及时响应承诺。二、评审标准：1、完整性：方案须全面，对评审内容中的各项要求有详细描述；2、可实施性：切合本项目实际情况，实施步骤清晰、合理； 3、针对性：方案能够紧扣项目实际情况，内容科学合理。三、赋分标准（满分12分）①服务质量保证承诺，每完全满足一个评审标准得2分，满分6分。②及时响应承诺，每完全满足一个评审标准得2分，满分6分。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根据拟派项目团队成员的知识结构，分工、协作能力，队伍稳定性、组织编审的能力等方面进行评分，供应商需提供拟派团队一览表、学历证、职称证等证明材料复印件。 1.供应商拟派的项目负责人，需具有考古学或考古学及博物馆学或博物馆学学历背景和具有副编审及以上职称（提供技术职称证书和学历证明复印件），均符合的得2分，符合1项的得1分，未提供不得分。 2.供应商拟派团队人员需具有考古学或考古学及博物馆学或博物馆学学历背景和编辑以上职称证书（提供技术职称证书和学历证明复印件），每具有一名满足上述条件的项目人员得1分，满分4分，未提供不得分。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一、评审内容：针对本项目提供完整详细的售后服务方案。内容包含但不限于：①售后服务内容、售后服务体系及流程，售后服务机构及人员配备②内容纠错、违约承诺及处罚措施。 二、评审标准：1、完整性：方案须全面，对评审内容中的各项要求有详细描述；2、可实施性：切合本项目实际情况，实施步骤清晰、合理； 3、针对性：方案能够紧扣项目实际情况，内容科学合理。三、赋分标准（满分6分）①售后服务内容、售后服务体系及流程，售后服务机构及人员配备，每完全满足一个评审标准得1分，满分3分。 ②内容纠错、违约承诺及处罚措施，每完全满足一个评审标准得1分，满分3分。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2022年6月1日至今类似项目的合同或中标(成交)通知书(以所提供资料的落款时间为准) ，每提供一份业绩计 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一、评审内容：针对本项目提供完整详细的服务方案。内容包含但不限于：①工作整体计划②照排与装帧设计③编辑加工流程④印刷与装帧⑤图书审核及交付。 二、评审标准： 1、完整性：方案须全面，对评审内容中的各项要求有详细描述；2、可实施性：切合本项目实际情况，实施步骤清晰、合理； 3、针对性：方案能够紧扣项目实际情况，内容科学合理。 三、赋分标准（满分30分） ①工作整体计划，每完全满足一个评审标准得2分，满分6分。②照排与装帧设计，每完全满足一个评审标准得2分，满分6分。③编辑加工流程，每完全满足一个评审标准得2分，满分6分。④印刷与装帧，每完全满足一个评审标准得2分，满分6分。⑤图书审核及交付，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质量管理体系保障措施</w:t>
            </w:r>
          </w:p>
        </w:tc>
        <w:tc>
          <w:tcPr>
            <w:tcW w:type="dxa" w:w="2492"/>
          </w:tcPr>
          <w:p>
            <w:pPr>
              <w:pStyle w:val="null3"/>
            </w:pPr>
            <w:r>
              <w:rPr>
                <w:rFonts w:ascii="仿宋_GB2312" w:hAnsi="仿宋_GB2312" w:cs="仿宋_GB2312" w:eastAsia="仿宋_GB2312"/>
              </w:rPr>
              <w:t>一、评审内容：针对本项目提供完整详细的质量管理体系保障措施。内容包含但不限于：①质量控制总体目标②编校质量。二、评审标准：1、完整性：方案须全面，对评审内容中的各项要求有详细描述；2、可实施性：切合本项目实际情况，实施步骤清晰、合理； 3、针对性：方案能够紧扣项目实际情况，内容科学合理。三、赋分标准（满分12分）①质量控制总体目标，每完全满足一个评审标准得2分，满分6分。②编校质量，每完全满足一个评审标准得2分，满分6分。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针对本项目提供完整详细的进度计划及保证措施。内容包含但不限于：①总体进度计划②具体进度保证保障措施；二、评审标准：1、完整性：方案须全面，对评审内容中的各项要求有详细描述；2、可实施性：切合本项目实际情况，实施步骤清晰、合理； 3、针对性：方案能够紧扣项目实际情况，内容科学合理。三、赋分标准：（满分12分）①总体进度计划，每完全满足一个评审标准得2分，满分6分。②具体进度保证保障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提供完整详细的应急预案。内容包含但不限于：①针对本项目服务过程突发和临时事件的预计、应急处理能力；②响应时限、突发情况人员替补、预防措施、现场组织协调能力等。二、评审标准：1、完整性：方案须全面，对评审内容中的各项要求有详细描述；2、可实施性：切合本项目实际情况，实施步骤清晰、合理； 3、针对性：方案能够紧扣项目实际情况，内容科学合理。三、赋分标准（满分6分） ①针对本项目服务过程突发和临时事件的预计、应急处理能力：每完全满足一个评审标准得1分，满分3分； ②响应时限、突发情况人员替补、预防措施、现场组织协调能力等：每完全满足一个评审标准得1分，满分3分。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完整详细的服务承诺。内容包含但不限于：①服务质量保证承诺②及时响应承诺。二、评审标准：1、完整性：方案须全面，对评审内容中的各项要求有详细描述；2、可实施性：切合本项目实际情况，实施步骤清晰、合理； 3、针对性：方案能够紧扣项目实际情况，内容科学合理。三、赋分标准（满分12分）①服务质量保证承诺，每完全满足一个评审标准得2分，满分6分。②及时响应承诺，每完全满足一个评审标准得2分，满分6分。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根据拟派项目团队成员的知识结构，分工、协作能力，队伍稳定性、组织编审的能力等方面进行评分，供应商需提供拟派团队一览表、学历证、职称证等证明材料复印件。 1.供应商拟派的项目负责人，需具有考古学或考古学及博物馆学或博物馆学学历背景和具有副编审及以上职称（提供技术职称证书和学历证明复印件），均符合的得2分，符合1项的得1分，未提供不得分。 2.供应商拟派团队人员需具有考古学或考古学及博物馆学或博物馆学学历背景和编辑以上职称证书（提供技术职称证书和学历证明复印件），每具有一名满足上述条件的项目人员得1分，满分4分，未提供不得分。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一、评审内容：针对本项目提供完整详细的售后服务方案。内容包含但不限于：①售后服务内容、售后服务体系及流程，售后服务机构及人员配备②内容纠错、违约承诺及处罚措施。 二、评审标准：1、完整性：方案须全面，对评审内容中的各项要求有详细描述；2、可实施性：切合本项目实际情况，实施步骤清晰、合理； 3、针对性：方案能够紧扣项目实际情况，内容科学合理。三、赋分标准（满分6分）①售后服务内容、售后服务体系及流程，售后服务机构及人员配备，每完全满足一个评审标准得1分，满分3分。 ②内容纠错、违约承诺及处罚措施，每完全满足一个评审标准得1分，满分3分。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 提供 2022年6月1日至今类似项目的合同或中标(成交)通知书(以所提供资料的落款时间为准) ，每提供一份业绩计 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详见附件：服务内容及商务响应偏离表.docx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详见附件：服务内容及商务响应偏离表.docx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