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版本号：ZDYT-ZB-2025（101）20251218001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2025年第一批市级农业农村发展专项资金项目(耕地安全利用及严格管控)</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ZDYT-ZB-2025（101）</w:t>
      </w:r>
      <w:r>
        <w:br/>
      </w:r>
      <w:r>
        <w:br/>
      </w:r>
      <w:r>
        <w:br/>
      </w:r>
    </w:p>
    <w:p>
      <w:pPr>
        <w:pStyle w:val="null3"/>
        <w:jc w:val="center"/>
        <w:outlineLvl w:val="2"/>
      </w:pPr>
      <w:r>
        <w:rPr>
          <w:rFonts w:ascii="仿宋_GB2312" w:hAnsi="仿宋_GB2312" w:cs="仿宋_GB2312" w:eastAsia="仿宋_GB2312"/>
          <w:sz w:val="28"/>
          <w:b/>
        </w:rPr>
        <w:t>西安市阎良区农业技术推广中心</w:t>
      </w:r>
    </w:p>
    <w:p>
      <w:pPr>
        <w:pStyle w:val="null3"/>
        <w:jc w:val="center"/>
        <w:outlineLvl w:val="2"/>
      </w:pPr>
      <w:r>
        <w:rPr>
          <w:rFonts w:ascii="仿宋_GB2312" w:hAnsi="仿宋_GB2312" w:cs="仿宋_GB2312" w:eastAsia="仿宋_GB2312"/>
          <w:sz w:val="28"/>
          <w:b/>
        </w:rPr>
        <w:t>陕西中鼎裕泰工程咨询有限公司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陕西中鼎裕泰工程咨询有限公司</w:t>
      </w:r>
      <w:r>
        <w:rPr>
          <w:rFonts w:ascii="仿宋_GB2312" w:hAnsi="仿宋_GB2312" w:cs="仿宋_GB2312" w:eastAsia="仿宋_GB2312"/>
        </w:rPr>
        <w:t>（以下简称“代理机构”）受</w:t>
      </w:r>
      <w:r>
        <w:rPr>
          <w:rFonts w:ascii="仿宋_GB2312" w:hAnsi="仿宋_GB2312" w:cs="仿宋_GB2312" w:eastAsia="仿宋_GB2312"/>
        </w:rPr>
        <w:t>西安市阎良区农业技术推广中心</w:t>
      </w:r>
      <w:r>
        <w:rPr>
          <w:rFonts w:ascii="仿宋_GB2312" w:hAnsi="仿宋_GB2312" w:cs="仿宋_GB2312" w:eastAsia="仿宋_GB2312"/>
        </w:rPr>
        <w:t>委托，拟对</w:t>
      </w:r>
      <w:r>
        <w:rPr>
          <w:rFonts w:ascii="仿宋_GB2312" w:hAnsi="仿宋_GB2312" w:cs="仿宋_GB2312" w:eastAsia="仿宋_GB2312"/>
        </w:rPr>
        <w:t>2025年第一批市级农业农村发展专项资金项目(耕地安全利用及严格管控)</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ZDYT-ZB-2025（101）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2025年第一批市级农业农村发展专项资金项目(耕地安全利用及严格管控)</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针对阎良区2363.81亩受污染耕地，对全区在安全利用类耕地全部落实农艺调控、土壤改良、生物修复等技术措施，开展土壤及农产品协同监测、农户培训等，措施覆盖率达93%以上。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采购包1（2025年第一批市级农业农村发展专项资金项目(耕地安全利用及严格管控)）：属于专门面向中小企业采购。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1、基本资格条件承诺函：根据《陕西省财政厅关于进一步优化政府采购营商环境有关事项的通知》(陕财办采[2023]4号)文件精神，对供应商基本资格条件实行“承诺+信用管理”</w:t>
      </w:r>
    </w:p>
    <w:p>
      <w:pPr>
        <w:pStyle w:val="null3"/>
      </w:pPr>
      <w:r>
        <w:rPr>
          <w:rFonts w:ascii="仿宋_GB2312" w:hAnsi="仿宋_GB2312" w:cs="仿宋_GB2312" w:eastAsia="仿宋_GB2312"/>
        </w:rPr>
        <w:t>2、供应商须具有独立承担民事责任能力的法人、其他组织或自然人，提供营业执照/事业单位法人证书/非企业专业服务机构执业许可证/自然人身份证：供应商须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3、信用查询：供应商不得为“信用中国”网站（www.creditchina.gov.cn ）中列入失信被执行人和重大税收违法失信主体的供应商，不得为中国政府采购网（www.ccgp.gov.cn ）政府采购严重违法失信行为记录名单中被财政部门禁止参加政府采购活动的供应商</w:t>
      </w:r>
    </w:p>
    <w:p>
      <w:pPr>
        <w:pStyle w:val="null3"/>
      </w:pPr>
      <w:r>
        <w:rPr>
          <w:rFonts w:ascii="仿宋_GB2312" w:hAnsi="仿宋_GB2312" w:cs="仿宋_GB2312" w:eastAsia="仿宋_GB2312"/>
        </w:rPr>
        <w:t>4、供应商不得存在下列情形之一：①单位负责人为同一人或者存在直接控股、管理关系的不同供应商不得参加同一合同项下的政府采购活动；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5、供应商应授权合法的人员参加磋商全过程：供应商应授权合法的人员参加磋商全过程，其中法定代表人直接参加磋商的，须出具法人身份证复印件，并与营业执照上信息一致。法定代表人授权代表参加磋商的，须出具法定代表人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西安市阎良区文化西路1号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朱桂强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13891994468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陕西中鼎裕泰工程咨询有限公司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陕西省西安市经济技术开发区文景广场C座18层1802室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17782566626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刘媛媛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代理服务费收费标准：由成交供应商支付代理服务费，代理服务费参照国家相关规定收取费用。招标代理服务费按照国家计委计价格[2002]1980号《招标代理服务收费管理暂行办法》规定标准计取。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西安市阎良区农业技术推广中心</w:t>
      </w:r>
      <w:r>
        <w:rPr>
          <w:rFonts w:ascii="仿宋_GB2312" w:hAnsi="仿宋_GB2312" w:cs="仿宋_GB2312" w:eastAsia="仿宋_GB2312"/>
        </w:rPr>
        <w:t>和</w:t>
      </w:r>
      <w:r>
        <w:rPr>
          <w:rFonts w:ascii="仿宋_GB2312" w:hAnsi="仿宋_GB2312" w:cs="仿宋_GB2312" w:eastAsia="仿宋_GB2312"/>
        </w:rPr>
        <w:t>陕西中鼎裕泰工程咨询有限公司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西安市阎良区农业技术推广中心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陕西中鼎裕泰工程咨询有限公司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陕西中鼎裕泰工程咨询有限公司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符合国家规定的标准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陕西中鼎裕泰工程咨询有限公司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陕西中鼎裕泰工程咨询有限公司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陕西中鼎裕泰工程咨询有限公司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联系人：李方</w:t>
      </w:r>
    </w:p>
    <w:p>
      <w:pPr>
        <w:pStyle w:val="null3"/>
      </w:pPr>
      <w:r>
        <w:rPr>
          <w:rFonts w:ascii="仿宋_GB2312" w:hAnsi="仿宋_GB2312" w:cs="仿宋_GB2312" w:eastAsia="仿宋_GB2312"/>
        </w:rPr>
        <w:t>联系电话：17782566626</w:t>
      </w:r>
    </w:p>
    <w:p>
      <w:pPr>
        <w:pStyle w:val="null3"/>
      </w:pPr>
      <w:r>
        <w:rPr>
          <w:rFonts w:ascii="仿宋_GB2312" w:hAnsi="仿宋_GB2312" w:cs="仿宋_GB2312" w:eastAsia="仿宋_GB2312"/>
        </w:rPr>
        <w:t>地址：陕西省西安市经济技术开发区文景广场C座18层1802室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针对阎良区2363.81亩受污染耕地，对全区在安全利用类耕地全部落实农艺调控、土壤改良、生物修复等技术措施，开展土壤及农产品协同监测、农户培训等，措施覆盖率达93%以上。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1,182,000.00</w:t>
      </w:r>
    </w:p>
    <w:p>
      <w:pPr>
        <w:pStyle w:val="null3"/>
      </w:pPr>
      <w:r>
        <w:rPr>
          <w:rFonts w:ascii="仿宋_GB2312" w:hAnsi="仿宋_GB2312" w:cs="仿宋_GB2312" w:eastAsia="仿宋_GB2312"/>
        </w:rPr>
        <w:t>采购包最高限价（元）: 1,182,000.00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2025年第一批市级农业农村发展专项资金项目(耕地安全利用及严格管控)</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1,182,000.00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标的名称：2025年第一批市级农业农村发展专项资金项目(耕地安全利用及严格管控)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after="165"/>
              <w:ind w:left="420"/>
              <w:jc w:val="both"/>
            </w:pPr>
            <w:r>
              <w:rPr>
                <w:rFonts w:ascii="仿宋_GB2312" w:hAnsi="仿宋_GB2312" w:cs="仿宋_GB2312" w:eastAsia="仿宋_GB2312"/>
                <w:sz w:val="28"/>
                <w:b/>
              </w:rPr>
              <w:t>一、项目</w:t>
            </w:r>
            <w:r>
              <w:rPr>
                <w:rFonts w:ascii="仿宋_GB2312" w:hAnsi="仿宋_GB2312" w:cs="仿宋_GB2312" w:eastAsia="仿宋_GB2312"/>
                <w:sz w:val="28"/>
                <w:b/>
              </w:rPr>
              <w:t>概况</w:t>
            </w:r>
          </w:p>
          <w:p>
            <w:pPr>
              <w:pStyle w:val="null3"/>
              <w:spacing w:after="165"/>
              <w:jc w:val="left"/>
            </w:pPr>
            <w:r>
              <w:rPr>
                <w:rFonts w:ascii="仿宋_GB2312" w:hAnsi="仿宋_GB2312" w:cs="仿宋_GB2312" w:eastAsia="仿宋_GB2312"/>
                <w:sz w:val="28"/>
              </w:rPr>
              <w:t>项</w:t>
            </w:r>
            <w:r>
              <w:rPr>
                <w:rFonts w:ascii="仿宋_GB2312" w:hAnsi="仿宋_GB2312" w:cs="仿宋_GB2312" w:eastAsia="仿宋_GB2312"/>
                <w:sz w:val="28"/>
              </w:rPr>
              <w:t>目名称：</w:t>
            </w:r>
            <w:r>
              <w:rPr>
                <w:rFonts w:ascii="仿宋_GB2312" w:hAnsi="仿宋_GB2312" w:cs="仿宋_GB2312" w:eastAsia="仿宋_GB2312"/>
                <w:sz w:val="28"/>
              </w:rPr>
              <w:t>2025年第一批市级农业农村发展专项资金项目（耕地安全利</w:t>
            </w:r>
            <w:r>
              <w:rPr>
                <w:rFonts w:ascii="仿宋_GB2312" w:hAnsi="仿宋_GB2312" w:cs="仿宋_GB2312" w:eastAsia="仿宋_GB2312"/>
                <w:sz w:val="28"/>
              </w:rPr>
              <w:t>用</w:t>
            </w:r>
            <w:r>
              <w:rPr>
                <w:rFonts w:ascii="仿宋_GB2312" w:hAnsi="仿宋_GB2312" w:cs="仿宋_GB2312" w:eastAsia="仿宋_GB2312"/>
                <w:sz w:val="28"/>
              </w:rPr>
              <w:t>及严格管控）</w:t>
            </w:r>
          </w:p>
          <w:p>
            <w:pPr>
              <w:pStyle w:val="null3"/>
              <w:spacing w:after="165"/>
              <w:jc w:val="both"/>
            </w:pPr>
            <w:r>
              <w:rPr>
                <w:rFonts w:ascii="仿宋_GB2312" w:hAnsi="仿宋_GB2312" w:cs="仿宋_GB2312" w:eastAsia="仿宋_GB2312"/>
                <w:sz w:val="28"/>
              </w:rPr>
              <w:t>实施规模及内容：针对阎良区</w:t>
            </w:r>
            <w:r>
              <w:rPr>
                <w:rFonts w:ascii="仿宋_GB2312" w:hAnsi="仿宋_GB2312" w:cs="仿宋_GB2312" w:eastAsia="仿宋_GB2312"/>
                <w:sz w:val="28"/>
              </w:rPr>
              <w:t>2363.81亩受污染耕地，对全区在安全利用类耕地全部落实农艺调控、土壤改良、生物修复等技术措施，开展土壤及农产品协同监测、农户培训等，措施覆盖率达</w:t>
            </w:r>
            <w:r>
              <w:rPr>
                <w:rFonts w:ascii="仿宋_GB2312" w:hAnsi="仿宋_GB2312" w:cs="仿宋_GB2312" w:eastAsia="仿宋_GB2312"/>
                <w:sz w:val="28"/>
              </w:rPr>
              <w:t>93</w:t>
            </w:r>
            <w:r>
              <w:rPr>
                <w:rFonts w:ascii="仿宋_GB2312" w:hAnsi="仿宋_GB2312" w:cs="仿宋_GB2312" w:eastAsia="仿宋_GB2312"/>
                <w:sz w:val="28"/>
              </w:rPr>
              <w:t>%</w:t>
            </w:r>
            <w:r>
              <w:rPr>
                <w:rFonts w:ascii="仿宋_GB2312" w:hAnsi="仿宋_GB2312" w:cs="仿宋_GB2312" w:eastAsia="仿宋_GB2312"/>
                <w:sz w:val="28"/>
              </w:rPr>
              <w:t>以上</w:t>
            </w:r>
            <w:r>
              <w:rPr>
                <w:rFonts w:ascii="仿宋_GB2312" w:hAnsi="仿宋_GB2312" w:cs="仿宋_GB2312" w:eastAsia="仿宋_GB2312"/>
                <w:sz w:val="28"/>
              </w:rPr>
              <w:t>。</w:t>
            </w:r>
          </w:p>
          <w:p>
            <w:pPr>
              <w:pStyle w:val="null3"/>
              <w:spacing w:before="315" w:after="165"/>
              <w:ind w:left="420"/>
              <w:jc w:val="both"/>
            </w:pPr>
            <w:r>
              <w:rPr>
                <w:rFonts w:ascii="仿宋_GB2312" w:hAnsi="仿宋_GB2312" w:cs="仿宋_GB2312" w:eastAsia="仿宋_GB2312"/>
                <w:sz w:val="28"/>
                <w:b/>
              </w:rPr>
              <w:t>二、服务内容</w:t>
            </w:r>
          </w:p>
          <w:p>
            <w:pPr>
              <w:pStyle w:val="null3"/>
              <w:spacing w:after="165"/>
              <w:ind w:firstLine="560"/>
              <w:jc w:val="left"/>
            </w:pPr>
            <w:r>
              <w:rPr>
                <w:rFonts w:ascii="仿宋_GB2312" w:hAnsi="仿宋_GB2312" w:cs="仿宋_GB2312" w:eastAsia="仿宋_GB2312"/>
                <w:sz w:val="28"/>
              </w:rPr>
              <w:t>1、在前期的试验工作基础上，通过土壤调理和叶面阻控技术治理受污染耕地，明确两种技术模式下的污染耕地治理效果，为全区推广，农户培训做基础；</w:t>
            </w:r>
          </w:p>
          <w:p>
            <w:pPr>
              <w:pStyle w:val="null3"/>
              <w:spacing w:after="165"/>
              <w:ind w:firstLine="560"/>
              <w:jc w:val="left"/>
            </w:pPr>
            <w:r>
              <w:rPr>
                <w:rFonts w:ascii="仿宋_GB2312" w:hAnsi="仿宋_GB2312" w:cs="仿宋_GB2312" w:eastAsia="仿宋_GB2312"/>
                <w:sz w:val="28"/>
              </w:rPr>
              <w:t>2、对全区2363.81亩受污染耕地实施安全利用措施，确保全区受污染耕地安全利用率达到93%以上；</w:t>
            </w:r>
          </w:p>
          <w:p>
            <w:pPr>
              <w:pStyle w:val="null3"/>
              <w:spacing w:after="165"/>
              <w:ind w:firstLine="560"/>
              <w:jc w:val="left"/>
            </w:pPr>
            <w:r>
              <w:rPr>
                <w:rFonts w:ascii="仿宋_GB2312" w:hAnsi="仿宋_GB2312" w:cs="仿宋_GB2312" w:eastAsia="仿宋_GB2312"/>
                <w:sz w:val="28"/>
              </w:rPr>
              <w:t>3，在此基础上，开展土壤及农产品协同监测，确保全区农作物重金属污染防控达标。</w:t>
            </w:r>
          </w:p>
          <w:p>
            <w:pPr>
              <w:pStyle w:val="null3"/>
              <w:spacing w:after="165"/>
              <w:ind w:firstLine="560"/>
              <w:jc w:val="left"/>
            </w:pPr>
            <w:r>
              <w:rPr>
                <w:rFonts w:ascii="仿宋_GB2312" w:hAnsi="仿宋_GB2312" w:cs="仿宋_GB2312" w:eastAsia="仿宋_GB2312"/>
                <w:sz w:val="28"/>
                <w:b/>
              </w:rPr>
              <w:t>三、</w:t>
            </w:r>
            <w:r>
              <w:rPr>
                <w:rFonts w:ascii="仿宋_GB2312" w:hAnsi="仿宋_GB2312" w:cs="仿宋_GB2312" w:eastAsia="仿宋_GB2312"/>
                <w:sz w:val="28"/>
                <w:b/>
              </w:rPr>
              <w:t>技术要求</w:t>
            </w:r>
          </w:p>
          <w:p>
            <w:pPr>
              <w:pStyle w:val="null3"/>
              <w:spacing w:after="165"/>
              <w:ind w:firstLine="560"/>
              <w:jc w:val="left"/>
            </w:pPr>
            <w:r>
              <w:rPr>
                <w:rFonts w:ascii="仿宋_GB2312" w:hAnsi="仿宋_GB2312" w:cs="仿宋_GB2312" w:eastAsia="仿宋_GB2312"/>
                <w:sz w:val="28"/>
              </w:rPr>
              <w:t>针对受污染耕地施用土壤钝化剂和叶面阻控剂。同时根据采购人提供面积与范围搭配实施深翻耕地、秸秆还田以及调整种植制度等方法，同时进行土壤、农作物协同监测，使全区</w:t>
            </w:r>
            <w:r>
              <w:rPr>
                <w:rFonts w:ascii="仿宋_GB2312" w:hAnsi="仿宋_GB2312" w:cs="仿宋_GB2312" w:eastAsia="仿宋_GB2312"/>
                <w:sz w:val="28"/>
              </w:rPr>
              <w:t>2363.81亩土壤安全利用率达到93%以上。</w:t>
            </w:r>
          </w:p>
          <w:p>
            <w:pPr>
              <w:pStyle w:val="null3"/>
              <w:spacing w:before="315" w:after="165"/>
              <w:jc w:val="both"/>
            </w:pPr>
            <w:r>
              <w:rPr>
                <w:rFonts w:ascii="仿宋_GB2312" w:hAnsi="仿宋_GB2312" w:cs="仿宋_GB2312" w:eastAsia="仿宋_GB2312"/>
                <w:sz w:val="28"/>
                <w:b/>
              </w:rPr>
              <w:t>四、服务要求（如对人员配置、专业设备、服务标准等）</w:t>
            </w:r>
          </w:p>
          <w:p>
            <w:pPr>
              <w:pStyle w:val="null3"/>
              <w:spacing w:after="165"/>
              <w:ind w:firstLine="560"/>
              <w:jc w:val="left"/>
            </w:pPr>
            <w:r>
              <w:rPr>
                <w:rFonts w:ascii="仿宋_GB2312" w:hAnsi="仿宋_GB2312" w:cs="仿宋_GB2312" w:eastAsia="仿宋_GB2312"/>
                <w:sz w:val="28"/>
              </w:rPr>
              <w:t>在合同执行过程中需要服务商应执行的相关服务标准和应当履行的相关义务。</w:t>
            </w:r>
          </w:p>
          <w:p>
            <w:pPr>
              <w:pStyle w:val="null3"/>
              <w:spacing w:after="165"/>
              <w:ind w:firstLine="560"/>
              <w:jc w:val="left"/>
            </w:pPr>
            <w:r>
              <w:rPr>
                <w:rFonts w:ascii="仿宋_GB2312" w:hAnsi="仿宋_GB2312" w:cs="仿宋_GB2312" w:eastAsia="仿宋_GB2312"/>
                <w:sz w:val="28"/>
              </w:rPr>
              <w:t>供应商须进一步细化年度项目实施方案，明确各项技术措施数量指标。服务期内需对土壤进行修复研究，对土壤、农产品采样等，建立实验示范点，对受污染土地施加有机肥等相关措施，确保受污染耕地能得到有效恢复。</w:t>
            </w:r>
          </w:p>
          <w:p>
            <w:pPr>
              <w:pStyle w:val="null3"/>
              <w:spacing w:before="315" w:after="165"/>
              <w:ind w:left="420"/>
              <w:jc w:val="both"/>
            </w:pPr>
            <w:r>
              <w:rPr>
                <w:rFonts w:ascii="仿宋_GB2312" w:hAnsi="仿宋_GB2312" w:cs="仿宋_GB2312" w:eastAsia="仿宋_GB2312"/>
                <w:sz w:val="28"/>
                <w:b/>
              </w:rPr>
              <w:t>五、商务要求</w:t>
            </w:r>
          </w:p>
          <w:p>
            <w:pPr>
              <w:pStyle w:val="null3"/>
              <w:spacing w:after="165"/>
              <w:ind w:firstLine="560"/>
              <w:jc w:val="left"/>
            </w:pPr>
            <w:r>
              <w:rPr>
                <w:rFonts w:ascii="仿宋_GB2312" w:hAnsi="仿宋_GB2312" w:cs="仿宋_GB2312" w:eastAsia="仿宋_GB2312"/>
                <w:sz w:val="28"/>
              </w:rPr>
              <w:t>（一）服务期限</w:t>
            </w:r>
          </w:p>
          <w:p>
            <w:pPr>
              <w:pStyle w:val="null3"/>
              <w:spacing w:after="165"/>
              <w:ind w:firstLine="560"/>
              <w:jc w:val="left"/>
            </w:pPr>
            <w:r>
              <w:rPr>
                <w:rFonts w:ascii="仿宋_GB2312" w:hAnsi="仿宋_GB2312" w:cs="仿宋_GB2312" w:eastAsia="仿宋_GB2312"/>
                <w:sz w:val="28"/>
              </w:rPr>
              <w:t>一、</w:t>
            </w:r>
            <w:r>
              <w:rPr>
                <w:rFonts w:ascii="仿宋_GB2312" w:hAnsi="仿宋_GB2312" w:cs="仿宋_GB2312" w:eastAsia="仿宋_GB2312"/>
                <w:sz w:val="28"/>
              </w:rPr>
              <w:t>服务地点</w:t>
            </w:r>
            <w:r>
              <w:rPr>
                <w:rFonts w:ascii="仿宋_GB2312" w:hAnsi="仿宋_GB2312" w:cs="仿宋_GB2312" w:eastAsia="仿宋_GB2312"/>
                <w:sz w:val="28"/>
              </w:rPr>
              <w:t>：</w:t>
            </w:r>
            <w:r>
              <w:rPr>
                <w:rFonts w:ascii="仿宋_GB2312" w:hAnsi="仿宋_GB2312" w:cs="仿宋_GB2312" w:eastAsia="仿宋_GB2312"/>
                <w:sz w:val="28"/>
              </w:rPr>
              <w:t>采购人</w:t>
            </w:r>
            <w:r>
              <w:rPr>
                <w:rFonts w:ascii="仿宋_GB2312" w:hAnsi="仿宋_GB2312" w:cs="仿宋_GB2312" w:eastAsia="仿宋_GB2312"/>
                <w:sz w:val="28"/>
              </w:rPr>
              <w:t>指定地点。</w:t>
            </w:r>
          </w:p>
          <w:p>
            <w:pPr>
              <w:pStyle w:val="null3"/>
              <w:spacing w:after="165"/>
              <w:ind w:firstLine="560"/>
              <w:jc w:val="left"/>
            </w:pPr>
            <w:r>
              <w:rPr>
                <w:rFonts w:ascii="仿宋_GB2312" w:hAnsi="仿宋_GB2312" w:cs="仿宋_GB2312" w:eastAsia="仿宋_GB2312"/>
                <w:sz w:val="28"/>
              </w:rPr>
              <w:t>二、</w:t>
            </w:r>
            <w:r>
              <w:rPr>
                <w:rFonts w:ascii="仿宋_GB2312" w:hAnsi="仿宋_GB2312" w:cs="仿宋_GB2312" w:eastAsia="仿宋_GB2312"/>
                <w:sz w:val="28"/>
              </w:rPr>
              <w:t>服务期限</w:t>
            </w:r>
            <w:r>
              <w:rPr>
                <w:rFonts w:ascii="仿宋_GB2312" w:hAnsi="仿宋_GB2312" w:cs="仿宋_GB2312" w:eastAsia="仿宋_GB2312"/>
                <w:sz w:val="28"/>
              </w:rPr>
              <w:t>：合同签订之日至</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w:t>
            </w:r>
            <w:r>
              <w:rPr>
                <w:rFonts w:ascii="仿宋_GB2312" w:hAnsi="仿宋_GB2312" w:cs="仿宋_GB2312" w:eastAsia="仿宋_GB2312"/>
                <w:sz w:val="28"/>
              </w:rPr>
              <w:t>7</w:t>
            </w:r>
            <w:r>
              <w:rPr>
                <w:rFonts w:ascii="仿宋_GB2312" w:hAnsi="仿宋_GB2312" w:cs="仿宋_GB2312" w:eastAsia="仿宋_GB2312"/>
                <w:sz w:val="28"/>
              </w:rPr>
              <w:t>月</w:t>
            </w:r>
            <w:r>
              <w:rPr>
                <w:rFonts w:ascii="仿宋_GB2312" w:hAnsi="仿宋_GB2312" w:cs="仿宋_GB2312" w:eastAsia="仿宋_GB2312"/>
                <w:sz w:val="28"/>
              </w:rPr>
              <w:t>31</w:t>
            </w:r>
            <w:r>
              <w:rPr>
                <w:rFonts w:ascii="仿宋_GB2312" w:hAnsi="仿宋_GB2312" w:cs="仿宋_GB2312" w:eastAsia="仿宋_GB2312"/>
                <w:sz w:val="28"/>
              </w:rPr>
              <w:t>日前。</w:t>
            </w:r>
          </w:p>
          <w:p>
            <w:pPr>
              <w:pStyle w:val="null3"/>
              <w:spacing w:after="165"/>
              <w:ind w:firstLine="560"/>
              <w:jc w:val="left"/>
            </w:pPr>
            <w:r>
              <w:rPr>
                <w:rFonts w:ascii="仿宋_GB2312" w:hAnsi="仿宋_GB2312" w:cs="仿宋_GB2312" w:eastAsia="仿宋_GB2312"/>
                <w:sz w:val="28"/>
              </w:rPr>
              <w:t>（二）款项结算</w:t>
            </w:r>
          </w:p>
          <w:p>
            <w:pPr>
              <w:pStyle w:val="null3"/>
              <w:spacing w:after="165"/>
              <w:ind w:firstLine="560"/>
              <w:jc w:val="left"/>
            </w:pPr>
            <w:r>
              <w:rPr>
                <w:rFonts w:ascii="仿宋_GB2312" w:hAnsi="仿宋_GB2312" w:cs="仿宋_GB2312" w:eastAsia="仿宋_GB2312"/>
                <w:sz w:val="28"/>
              </w:rPr>
              <w:t>1、结算单位：采购人结算，在付款前必须开具等额发票给采购人。</w:t>
            </w:r>
          </w:p>
          <w:p>
            <w:pPr>
              <w:pStyle w:val="null3"/>
              <w:spacing w:after="165"/>
              <w:ind w:firstLine="560"/>
              <w:jc w:val="left"/>
            </w:pPr>
            <w:r>
              <w:rPr>
                <w:rFonts w:ascii="仿宋_GB2312" w:hAnsi="仿宋_GB2312" w:cs="仿宋_GB2312" w:eastAsia="仿宋_GB2312"/>
                <w:sz w:val="28"/>
              </w:rPr>
              <w:t>2、付款方式：无预付款，该项目验收完成后，及时全额支付。</w:t>
            </w:r>
          </w:p>
          <w:p>
            <w:pPr>
              <w:pStyle w:val="null3"/>
              <w:spacing w:after="165"/>
              <w:ind w:firstLine="560"/>
              <w:jc w:val="left"/>
            </w:pPr>
            <w:r>
              <w:rPr>
                <w:rFonts w:ascii="仿宋_GB2312" w:hAnsi="仿宋_GB2312" w:cs="仿宋_GB2312" w:eastAsia="仿宋_GB2312"/>
                <w:sz w:val="28"/>
              </w:rPr>
              <w:t>3、支付方式：银行转账。</w:t>
            </w:r>
          </w:p>
          <w:p>
            <w:pPr>
              <w:pStyle w:val="null3"/>
              <w:spacing w:after="165"/>
              <w:ind w:firstLine="560"/>
              <w:jc w:val="left"/>
            </w:pPr>
            <w:r>
              <w:rPr>
                <w:rFonts w:ascii="仿宋_GB2312" w:hAnsi="仿宋_GB2312" w:cs="仿宋_GB2312" w:eastAsia="仿宋_GB2312"/>
                <w:sz w:val="28"/>
              </w:rPr>
              <w:t>4、结算方式：乙方在接受付款前开具等额发票给甲方。</w:t>
            </w:r>
          </w:p>
          <w:p>
            <w:pPr>
              <w:pStyle w:val="null3"/>
              <w:spacing w:before="315" w:after="165"/>
              <w:jc w:val="both"/>
            </w:pPr>
            <w:r>
              <w:rPr>
                <w:rFonts w:ascii="仿宋_GB2312" w:hAnsi="仿宋_GB2312" w:cs="仿宋_GB2312" w:eastAsia="仿宋_GB2312"/>
                <w:sz w:val="28"/>
                <w:b/>
              </w:rPr>
              <w:t>六、其他（如有要求，请写明）</w:t>
            </w:r>
          </w:p>
          <w:p>
            <w:pPr>
              <w:pStyle w:val="null3"/>
              <w:spacing w:after="165"/>
              <w:ind w:firstLine="560"/>
              <w:jc w:val="left"/>
            </w:pPr>
            <w:r>
              <w:rPr>
                <w:rFonts w:ascii="仿宋_GB2312" w:hAnsi="仿宋_GB2312" w:cs="仿宋_GB2312" w:eastAsia="仿宋_GB2312"/>
                <w:sz w:val="28"/>
              </w:rPr>
              <w:t>（一）对服务商的业绩要求</w:t>
            </w:r>
          </w:p>
          <w:p>
            <w:pPr>
              <w:pStyle w:val="null3"/>
              <w:spacing w:after="165"/>
              <w:ind w:firstLine="560"/>
              <w:jc w:val="left"/>
            </w:pPr>
            <w:r>
              <w:rPr>
                <w:rFonts w:ascii="仿宋_GB2312" w:hAnsi="仿宋_GB2312" w:cs="仿宋_GB2312" w:eastAsia="仿宋_GB2312"/>
                <w:sz w:val="28"/>
              </w:rPr>
              <w:t>服务商提供近</w:t>
            </w:r>
            <w:r>
              <w:rPr>
                <w:rFonts w:ascii="仿宋_GB2312" w:hAnsi="仿宋_GB2312" w:cs="仿宋_GB2312" w:eastAsia="仿宋_GB2312"/>
                <w:sz w:val="28"/>
              </w:rPr>
              <w:t>三</w:t>
            </w:r>
            <w:r>
              <w:rPr>
                <w:rFonts w:ascii="仿宋_GB2312" w:hAnsi="仿宋_GB2312" w:cs="仿宋_GB2312" w:eastAsia="仿宋_GB2312"/>
                <w:sz w:val="28"/>
              </w:rPr>
              <w:t>年同类似项目业绩</w:t>
            </w:r>
          </w:p>
          <w:p>
            <w:pPr>
              <w:pStyle w:val="null3"/>
              <w:spacing w:after="165"/>
              <w:ind w:firstLine="560"/>
              <w:jc w:val="left"/>
            </w:pPr>
            <w:r>
              <w:rPr>
                <w:rFonts w:ascii="仿宋_GB2312" w:hAnsi="仿宋_GB2312" w:cs="仿宋_GB2312" w:eastAsia="仿宋_GB2312"/>
                <w:sz w:val="28"/>
              </w:rPr>
              <w:t>（二）进度要求</w:t>
            </w:r>
          </w:p>
          <w:p>
            <w:pPr>
              <w:pStyle w:val="null3"/>
              <w:spacing w:after="165"/>
              <w:ind w:firstLine="560"/>
              <w:jc w:val="left"/>
            </w:pPr>
            <w:r>
              <w:rPr>
                <w:rFonts w:ascii="仿宋_GB2312" w:hAnsi="仿宋_GB2312" w:cs="仿宋_GB2312" w:eastAsia="仿宋_GB2312"/>
                <w:sz w:val="28"/>
              </w:rPr>
              <w:t>按甲方要求进度及时完成</w:t>
            </w:r>
          </w:p>
          <w:p>
            <w:pPr>
              <w:pStyle w:val="null3"/>
              <w:spacing w:after="165"/>
              <w:ind w:firstLine="560"/>
              <w:jc w:val="left"/>
            </w:pPr>
            <w:r>
              <w:rPr>
                <w:rFonts w:ascii="仿宋_GB2312" w:hAnsi="仿宋_GB2312" w:cs="仿宋_GB2312" w:eastAsia="仿宋_GB2312"/>
                <w:sz w:val="28"/>
              </w:rPr>
              <w:t>（三）成果交付要求</w:t>
            </w:r>
          </w:p>
          <w:p>
            <w:pPr>
              <w:pStyle w:val="null3"/>
              <w:spacing w:after="165"/>
              <w:ind w:firstLine="560"/>
              <w:jc w:val="left"/>
            </w:pPr>
            <w:r>
              <w:rPr>
                <w:rFonts w:ascii="仿宋_GB2312" w:hAnsi="仿宋_GB2312" w:cs="仿宋_GB2312" w:eastAsia="仿宋_GB2312"/>
                <w:sz w:val="28"/>
              </w:rPr>
              <w:t>按甲方要求提供产品质量证件、相关报账资料</w:t>
            </w:r>
          </w:p>
          <w:p>
            <w:pPr>
              <w:pStyle w:val="null3"/>
              <w:spacing w:after="165"/>
              <w:ind w:firstLine="560"/>
              <w:jc w:val="left"/>
            </w:pPr>
            <w:r>
              <w:rPr>
                <w:rFonts w:ascii="仿宋_GB2312" w:hAnsi="仿宋_GB2312" w:cs="仿宋_GB2312" w:eastAsia="仿宋_GB2312"/>
                <w:sz w:val="28"/>
              </w:rPr>
              <w:t>（四）质量验收标准或规范</w:t>
            </w:r>
          </w:p>
          <w:p>
            <w:pPr>
              <w:pStyle w:val="null3"/>
              <w:spacing w:after="165"/>
              <w:ind w:firstLine="560"/>
              <w:jc w:val="left"/>
            </w:pPr>
            <w:r>
              <w:rPr>
                <w:rFonts w:ascii="仿宋_GB2312" w:hAnsi="仿宋_GB2312" w:cs="仿宋_GB2312" w:eastAsia="仿宋_GB2312"/>
                <w:sz w:val="28"/>
              </w:rPr>
              <w:t>符合国家规定的标准。</w:t>
            </w:r>
          </w:p>
          <w:p>
            <w:pPr>
              <w:pStyle w:val="null3"/>
              <w:spacing w:after="165"/>
              <w:ind w:firstLine="560"/>
              <w:jc w:val="left"/>
            </w:pPr>
            <w:r>
              <w:rPr>
                <w:rFonts w:ascii="仿宋_GB2312" w:hAnsi="仿宋_GB2312" w:cs="仿宋_GB2312" w:eastAsia="仿宋_GB2312"/>
                <w:sz w:val="28"/>
              </w:rPr>
              <w:t>（五）违约责任</w:t>
            </w:r>
          </w:p>
          <w:p>
            <w:pPr>
              <w:pStyle w:val="null3"/>
              <w:spacing w:after="165"/>
              <w:ind w:firstLine="560"/>
              <w:jc w:val="left"/>
            </w:pPr>
            <w:r>
              <w:rPr>
                <w:rFonts w:ascii="仿宋_GB2312" w:hAnsi="仿宋_GB2312" w:cs="仿宋_GB2312" w:eastAsia="仿宋_GB2312"/>
                <w:sz w:val="28"/>
              </w:rPr>
              <w:t>甲乙双方按照《民法典》相关条款执行。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针对本项目配备专业的技术人员和相关的服务人员，确保项目顺利实施。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针对本项目配备专业的设施设备，设施设备齐全，确保项目顺利实施。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具体详见采购需求附件。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合同签订之日至2026年7月31日前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符合国家规定的标准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无预付款，该项目验收完成后，及时全额支付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磋商实行两轮报价。第一轮报价后，磋商小组可以根据项目实施情况调整采购需求，第二轮报价为最终报价。如采购需求没有实质性变化，各供应商的报价应逐次降低，本次报价超过上次报价的，为无效报价。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1、供应商须具有独立承担民事责任能力的法人、其他组织或自然人，提供营业执照/事业单位法人证书/非企业专业服务机构执业许可证/自然人身份证; 2、根据《陕西省财政厅关于进一步优化政府采购营商环境有关事项的通知》(陕财办采[2023]4号)文件精神，对供应商基本资格条件实行“承诺+信用管理”。</w:t>
            </w:r>
          </w:p>
        </w:tc>
        <w:tc>
          <w:tcPr>
            <w:tcW w:type="dxa" w:w="1661"/>
          </w:tcPr>
          <w:p>
            <w:pPr>
              <w:pStyle w:val="null3"/>
            </w:pPr>
            <w:r>
              <w:rPr>
                <w:rFonts w:ascii="仿宋_GB2312" w:hAnsi="仿宋_GB2312" w:cs="仿宋_GB2312" w:eastAsia="仿宋_GB2312"/>
              </w:rPr>
              <w:t>基本资格条件承诺函.pdf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基本资格条件承诺函。</w:t>
            </w:r>
          </w:p>
        </w:tc>
        <w:tc>
          <w:tcPr>
            <w:tcW w:type="dxa" w:w="1661"/>
          </w:tcPr>
          <w:p>
            <w:pPr>
              <w:pStyle w:val="null3"/>
            </w:pPr>
            <w:r>
              <w:rPr>
                <w:rFonts w:ascii="仿宋_GB2312" w:hAnsi="仿宋_GB2312" w:cs="仿宋_GB2312" w:eastAsia="仿宋_GB2312"/>
              </w:rPr>
              <w:t>基本资格条件承诺函.pdf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根据《陕西省财政厅关于进一步优化政府采购营商环境有关事项的通知》(陕财办采[2023]4号)文件精神，对供应商基本资格条件实行“承诺+信用管理”</w:t>
            </w:r>
          </w:p>
        </w:tc>
        <w:tc>
          <w:tcPr>
            <w:tcW w:type="dxa" w:w="1661"/>
          </w:tcPr>
          <w:p>
            <w:pPr>
              <w:pStyle w:val="null3"/>
            </w:pPr>
            <w:r>
              <w:rPr>
                <w:rFonts w:ascii="仿宋_GB2312" w:hAnsi="仿宋_GB2312" w:cs="仿宋_GB2312" w:eastAsia="仿宋_GB2312"/>
              </w:rPr>
              <w:t>基本资格条件承诺函.pdf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3322"/>
          </w:tcPr>
          <w:p>
            <w:pPr>
              <w:pStyle w:val="null3"/>
            </w:pPr>
            <w:r>
              <w:rPr>
                <w:rFonts w:ascii="仿宋_GB2312" w:hAnsi="仿宋_GB2312" w:cs="仿宋_GB2312" w:eastAsia="仿宋_GB2312"/>
              </w:rPr>
              <w:t>供应商须具有独立承担民事责任能力的法人、其他组织或自然人，提供营业执照/事业单位法人证书/非企业专业服务机构执业许可证/自然人身份证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 ）中列入失信被执行人和重大税收违法失信主体的供应商，不得为中国政府采购网（www.ccgp.gov.cn ）政府采购严重违法失信行为记录名单中被财政部门禁止参加政府采购活动的供应商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基本资格条件承诺函.pdf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 ②为本项目提供整体设计、规范编制或者项目管理、监理、检测等服务的供应商，不得再参加该采购项目的其他采购活动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供应商应授权合法的人员参加磋商全过程，其中法定代表人直接参加磋商的，须出具法人身份证复印件，并与营业执照上信息一致。法定代表人授权代表参加磋商的，须出具法定代表人授权书</w:t>
            </w:r>
          </w:p>
        </w:tc>
        <w:tc>
          <w:tcPr>
            <w:tcW w:type="dxa" w:w="1661"/>
          </w:tcPr>
          <w:p>
            <w:pPr>
              <w:pStyle w:val="null3"/>
            </w:pPr>
            <w:r>
              <w:rPr>
                <w:rFonts w:ascii="仿宋_GB2312" w:hAnsi="仿宋_GB2312" w:cs="仿宋_GB2312" w:eastAsia="仿宋_GB2312"/>
              </w:rPr>
              <w:t>法人授权委托书格式.pdf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分项费用组成明细表.pdf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响应文件应逐页加盖单位公章，且公章清晰可见；（2）响应文件格式：应符合响应文件要求；（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法人授权委托书格式.pdf 服务内容及服务邀请应答表 中小企业声明函 商务应答表 分项费用组成明细表.pdf 供应商应提交的相关资格证明材料 报价表 响应文件封面 基本资格条件承诺函.pdf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全面响应，不能有任何采购人不能接受的附加条件；（2）拟提供服务响应程度；应满足磋商文件提出的技术和服务要求。不允许负偏离；（3）服务期：合同签订之日至2026年7月31日前；（4）服务地点：采购人指定地点；（5）磋商有效期 ：应满足磋商文件中的规定。</w:t>
            </w:r>
          </w:p>
        </w:tc>
        <w:tc>
          <w:tcPr>
            <w:tcW w:type="dxa" w:w="1661"/>
          </w:tcPr>
          <w:p>
            <w:pPr>
              <w:pStyle w:val="null3"/>
            </w:pPr>
            <w:r>
              <w:rPr>
                <w:rFonts w:ascii="仿宋_GB2312" w:hAnsi="仿宋_GB2312" w:cs="仿宋_GB2312" w:eastAsia="仿宋_GB2312"/>
              </w:rPr>
              <w:t>响应文件封面 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整体服务方案：根据对项目的整体理解、项目特点、达到的目标，提供完整的服务方案，方案内容详细、合理、规范，能充分体现专业技术能力，包括①总体方案②实施方案③工作流程等④项目需求、重点难点分析⑤针对本项目服务过程中的人员、环境等安全防范、保障方案。 评审标准：方案各部分内容全面详细、阐述条理清晰详尽、符合本项目采购需求得20分；评审内容每缺一项扣4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评审内容：①针对本项目服务过程突发和临时事件的预计、应急处理能力②应急管理制度及应急措施③应急小组人员配备以及分工情况。 评审标准：方案各部分内容全面详细、阐述条理清晰详尽、符合本项目采购需求得9分；评审内容每缺一项扣3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项目服务团队配备</w:t>
            </w:r>
          </w:p>
        </w:tc>
        <w:tc>
          <w:tcPr>
            <w:tcW w:type="dxa" w:w="2492"/>
          </w:tcPr>
          <w:p>
            <w:pPr>
              <w:pStyle w:val="null3"/>
            </w:pPr>
            <w:r>
              <w:rPr>
                <w:rFonts w:ascii="仿宋_GB2312" w:hAnsi="仿宋_GB2312" w:cs="仿宋_GB2312" w:eastAsia="仿宋_GB2312"/>
              </w:rPr>
              <w:t>评审内容：①供应商组织机构健全，实行项目负责制，团队管理计划、制度②团队组织人员配置明细③各专业岗位配置人员资格及工作经验④关于本项服务采取的培训方案、内容。 评审标准：方案各部分内容全面详细、阐述条理清晰详尽、符合本项目采购需求得12分；评审内容每缺一项扣3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其他服务要求</w:t>
            </w:r>
          </w:p>
        </w:tc>
        <w:tc>
          <w:tcPr>
            <w:tcW w:type="dxa" w:w="2492"/>
          </w:tcPr>
          <w:p>
            <w:pPr>
              <w:pStyle w:val="null3"/>
            </w:pPr>
            <w:r>
              <w:rPr>
                <w:rFonts w:ascii="仿宋_GB2312" w:hAnsi="仿宋_GB2312" w:cs="仿宋_GB2312" w:eastAsia="仿宋_GB2312"/>
              </w:rPr>
              <w:t>所使用的肥料、土壤调理剂、钝化剂等耕地投入品详细，明确，符合国家相关标准，禁止使用重金属超标的投入品，不可对土壤、地下水 、大气等周边环境造成二次污染，需提供检测报告等相关证明材料。 1）证明材料齐全，详细，全面的计5分； 2）证明材料不全面的或耕地投入品不明确的计3分； 3） 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工作进度安排及质量保证措施</w:t>
            </w:r>
          </w:p>
        </w:tc>
        <w:tc>
          <w:tcPr>
            <w:tcW w:type="dxa" w:w="2492"/>
          </w:tcPr>
          <w:p>
            <w:pPr>
              <w:pStyle w:val="null3"/>
            </w:pPr>
            <w:r>
              <w:rPr>
                <w:rFonts w:ascii="仿宋_GB2312" w:hAnsi="仿宋_GB2312" w:cs="仿宋_GB2312" w:eastAsia="仿宋_GB2312"/>
              </w:rPr>
              <w:t>评审内容：①工作进度计划安排②工作进度计划保障措施 ③为保障项目进度拟投入设备情况④质量保证措施⑤质量目标。 评审标准：方案各部分内容全面详细、阐述条理清晰详尽、符合本项目采购需求得20分；评审内容每缺一项扣4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合理化建议及服务承诺</w:t>
            </w:r>
          </w:p>
        </w:tc>
        <w:tc>
          <w:tcPr>
            <w:tcW w:type="dxa" w:w="2492"/>
          </w:tcPr>
          <w:p>
            <w:pPr>
              <w:pStyle w:val="null3"/>
            </w:pPr>
            <w:r>
              <w:rPr>
                <w:rFonts w:ascii="仿宋_GB2312" w:hAnsi="仿宋_GB2312" w:cs="仿宋_GB2312" w:eastAsia="仿宋_GB2312"/>
              </w:rPr>
              <w:t>评审内容：①合理化建议②服务承诺 评审标准：方案各部分内容全面详细、阐述条理清晰详尽、符合本项目采购需求得8分；评审内容每缺一项扣4分，扣完为止；评审内容有一项内容缺陷（缺陷是指：内容描述过于简单、条理不清晰、与项目内容不匹配、凭空编造、出现常识性错误、不可能实现的夸大情形、存在不适用项目实际情况的情形等）每一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供应商提供2022年12月1日至投标截止日类似项目业绩（以加盖供应商公章的合同复印件为准，时间以合同签订时间为准），每提供一份有效业绩得2分，最高得6分。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满足磋商文件要求的有效磋商报价的最小值为评审基准价，其价格分为满分。其他响应供应商的价格分统一按照下列公式计算:磋商报价得分=(评审基准价/磋商报价)x价格权值x100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详见附件：法人授权委托书格式.pdf</w:t>
      </w:r>
    </w:p>
    <w:p>
      <w:pPr>
        <w:pStyle w:val="null3"/>
        <w:ind w:firstLine="960"/>
      </w:pPr>
      <w:r>
        <w:rPr>
          <w:rFonts w:ascii="仿宋_GB2312" w:hAnsi="仿宋_GB2312" w:cs="仿宋_GB2312" w:eastAsia="仿宋_GB2312"/>
        </w:rPr>
        <w:t>详见附件：基本资格条件承诺函.pdf</w:t>
      </w:r>
    </w:p>
    <w:p>
      <w:pPr>
        <w:pStyle w:val="null3"/>
        <w:ind w:firstLine="960"/>
      </w:pPr>
      <w:r>
        <w:rPr>
          <w:rFonts w:ascii="仿宋_GB2312" w:hAnsi="仿宋_GB2312" w:cs="仿宋_GB2312" w:eastAsia="仿宋_GB2312"/>
        </w:rPr>
        <w:t>详见附件：分项费用组成明细表.pdf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