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93E88">
      <w:pPr>
        <w:pStyle w:val="6"/>
        <w:spacing w:line="360" w:lineRule="auto"/>
        <w:ind w:left="643" w:leftChars="0" w:hanging="643" w:hangingChars="200"/>
        <w:jc w:val="center"/>
        <w:rPr>
          <w:rFonts w:hint="eastAsia" w:ascii="宋体" w:hAnsi="宋体"/>
          <w:b/>
          <w:sz w:val="32"/>
          <w:szCs w:val="30"/>
          <w:lang w:val="en-US" w:eastAsia="zh-CN"/>
        </w:rPr>
      </w:pPr>
      <w:r>
        <w:rPr>
          <w:rFonts w:hint="eastAsia" w:ascii="宋体" w:hAnsi="宋体"/>
          <w:b/>
          <w:sz w:val="32"/>
          <w:szCs w:val="30"/>
          <w:lang w:val="en-US" w:eastAsia="zh-CN"/>
        </w:rPr>
        <w:t>XXX项目</w:t>
      </w:r>
    </w:p>
    <w:p w14:paraId="546F62B8">
      <w:pPr>
        <w:pStyle w:val="6"/>
        <w:spacing w:line="360" w:lineRule="auto"/>
        <w:ind w:left="643" w:leftChars="0" w:hanging="643" w:hangingChars="200"/>
        <w:jc w:val="center"/>
        <w:rPr>
          <w:rFonts w:ascii="宋体" w:hAnsi="宋体"/>
          <w:sz w:val="22"/>
          <w:szCs w:val="21"/>
          <w:u w:val="single"/>
        </w:rPr>
      </w:pPr>
      <w:r>
        <w:rPr>
          <w:rFonts w:hint="eastAsia" w:ascii="宋体" w:hAnsi="宋体"/>
          <w:b/>
          <w:sz w:val="32"/>
          <w:szCs w:val="30"/>
          <w:lang w:val="en-US" w:eastAsia="zh-CN"/>
        </w:rPr>
        <w:t>技术</w:t>
      </w:r>
      <w:r>
        <w:rPr>
          <w:rFonts w:hint="eastAsia" w:ascii="宋体" w:hAnsi="宋体"/>
          <w:b/>
          <w:sz w:val="32"/>
          <w:szCs w:val="30"/>
        </w:rPr>
        <w:t>服务合同</w:t>
      </w:r>
    </w:p>
    <w:p w14:paraId="7A85A47F">
      <w:pPr>
        <w:keepNext w:val="0"/>
        <w:keepLines w:val="0"/>
        <w:pageBreakBefore w:val="0"/>
        <w:widowControl w:val="0"/>
        <w:kinsoku/>
        <w:wordWrap/>
        <w:overflowPunct w:val="0"/>
        <w:autoSpaceDE/>
        <w:autoSpaceDN w:val="0"/>
        <w:bidi w:val="0"/>
        <w:adjustRightInd w:val="0"/>
        <w:snapToGrid w:val="0"/>
        <w:spacing w:line="360" w:lineRule="auto"/>
        <w:rPr>
          <w:rFonts w:hint="eastAsia" w:ascii="宋体" w:hAnsi="宋体" w:cs="仿宋_GB2312"/>
          <w:color w:val="000000"/>
          <w:sz w:val="24"/>
          <w:szCs w:val="24"/>
        </w:rPr>
      </w:pPr>
      <w:r>
        <w:rPr>
          <w:rFonts w:hint="eastAsia" w:ascii="宋体" w:hAnsi="宋体" w:cs="仿宋_GB2312"/>
          <w:color w:val="000000"/>
          <w:sz w:val="24"/>
          <w:szCs w:val="24"/>
        </w:rPr>
        <w:t>甲方：</w:t>
      </w:r>
    </w:p>
    <w:p w14:paraId="5BAAF8F5">
      <w:pPr>
        <w:keepNext w:val="0"/>
        <w:keepLines w:val="0"/>
        <w:pageBreakBefore w:val="0"/>
        <w:widowControl w:val="0"/>
        <w:kinsoku/>
        <w:wordWrap/>
        <w:overflowPunct w:val="0"/>
        <w:autoSpaceDE/>
        <w:autoSpaceDN w:val="0"/>
        <w:bidi w:val="0"/>
        <w:adjustRightInd w:val="0"/>
        <w:snapToGrid w:val="0"/>
        <w:spacing w:line="360" w:lineRule="auto"/>
        <w:rPr>
          <w:rFonts w:ascii="宋体" w:hAnsi="宋体" w:cs="仿宋_GB2312"/>
          <w:color w:val="000000"/>
          <w:sz w:val="24"/>
          <w:szCs w:val="24"/>
        </w:rPr>
      </w:pPr>
      <w:r>
        <w:rPr>
          <w:rFonts w:hint="eastAsia" w:ascii="宋体" w:hAnsi="宋体" w:cs="仿宋_GB2312"/>
          <w:color w:val="000000"/>
          <w:sz w:val="24"/>
          <w:szCs w:val="24"/>
        </w:rPr>
        <w:t>乙方：</w:t>
      </w:r>
    </w:p>
    <w:p w14:paraId="10D9C49C">
      <w:pPr>
        <w:keepNext w:val="0"/>
        <w:keepLines w:val="0"/>
        <w:pageBreakBefore w:val="0"/>
        <w:widowControl w:val="0"/>
        <w:kinsoku/>
        <w:wordWrap/>
        <w:overflowPunct w:val="0"/>
        <w:autoSpaceDE/>
        <w:autoSpaceDN w:val="0"/>
        <w:bidi w:val="0"/>
        <w:adjustRightInd w:val="0"/>
        <w:snapToGrid w:val="0"/>
        <w:spacing w:line="360" w:lineRule="auto"/>
        <w:ind w:firstLine="480" w:firstLineChars="2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rPr>
        <w:t xml:space="preserve"> </w:t>
      </w:r>
      <w:r>
        <w:rPr>
          <w:rFonts w:hint="eastAsia"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XXX </w:t>
      </w:r>
      <w:r>
        <w:rPr>
          <w:rFonts w:hint="eastAsia" w:ascii="宋体" w:hAnsi="宋体" w:cs="宋体"/>
          <w:color w:val="000000"/>
          <w:sz w:val="24"/>
          <w:szCs w:val="24"/>
        </w:rPr>
        <w:t>项目</w:t>
      </w:r>
      <w:r>
        <w:rPr>
          <w:rFonts w:hint="eastAsia" w:ascii="宋体" w:hAnsi="宋体" w:cs="仿宋_GB2312"/>
          <w:color w:val="000000"/>
          <w:sz w:val="24"/>
          <w:szCs w:val="24"/>
        </w:rPr>
        <w:t>经招标确定</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u w:val="single"/>
          <w:lang w:val="en-US" w:eastAsia="zh-CN"/>
        </w:rPr>
        <w:t>XX</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rPr>
        <w:t>（以下简称乙方）为该项目成交供应商。依据《中华人民共和国民法典》经甲、乙双方共同协商，按下述条款和条件签署本合同。</w:t>
      </w:r>
    </w:p>
    <w:p w14:paraId="189DB869">
      <w:pPr>
        <w:keepNext w:val="0"/>
        <w:keepLines w:val="0"/>
        <w:pageBreakBefore w:val="0"/>
        <w:widowControl w:val="0"/>
        <w:numPr>
          <w:ilvl w:val="0"/>
          <w:numId w:val="1"/>
        </w:numPr>
        <w:kinsoku/>
        <w:wordWrap/>
        <w:autoSpaceDE/>
        <w:bidi w:val="0"/>
        <w:spacing w:line="360" w:lineRule="auto"/>
        <w:rPr>
          <w:rFonts w:hint="eastAsia" w:ascii="宋体" w:hAnsi="宋体" w:cs="宋体"/>
          <w:b/>
          <w:bCs/>
          <w:sz w:val="24"/>
          <w:lang w:val="en-US" w:eastAsia="zh-CN"/>
        </w:rPr>
      </w:pPr>
      <w:bookmarkStart w:id="0" w:name="_Toc9696"/>
      <w:bookmarkStart w:id="1" w:name="_Toc29588"/>
      <w:r>
        <w:rPr>
          <w:rFonts w:hint="eastAsia" w:ascii="宋体" w:hAnsi="宋体" w:cs="宋体"/>
          <w:b/>
          <w:bCs/>
          <w:sz w:val="24"/>
          <w:lang w:val="en-US" w:eastAsia="zh-CN"/>
        </w:rPr>
        <w:t>服务内容</w:t>
      </w:r>
    </w:p>
    <w:p w14:paraId="17BEDAD2">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1、在前期的试验工作基础上，通过土壤调理和叶面阻控技术治理受污染耕地，明确两种技术模式下的污染耕地治理效果，为全区推广，农户培训做基础；</w:t>
      </w:r>
    </w:p>
    <w:p w14:paraId="3BA4626A">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2、对全区2363.81亩受污染耕地实施安全利用措施，确保全区受污染耕地安全利用率达到93%以上；</w:t>
      </w:r>
    </w:p>
    <w:p w14:paraId="4F373675">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3、在此基础上，开展土壤及农产品协同监测，确保全区农作物重金属污染防控达标。</w:t>
      </w:r>
    </w:p>
    <w:p w14:paraId="0D032B77">
      <w:pPr>
        <w:keepNext w:val="0"/>
        <w:keepLines w:val="0"/>
        <w:pageBreakBefore w:val="0"/>
        <w:widowControl w:val="0"/>
        <w:kinsoku/>
        <w:wordWrap/>
        <w:autoSpaceDE/>
        <w:bidi w:val="0"/>
        <w:spacing w:line="360" w:lineRule="auto"/>
        <w:rPr>
          <w:rFonts w:hint="eastAsia" w:ascii="宋体" w:hAnsi="宋体" w:cs="宋体"/>
          <w:b/>
          <w:bCs/>
          <w:sz w:val="24"/>
          <w:lang w:val="en-US" w:eastAsia="zh-CN"/>
        </w:rPr>
      </w:pPr>
      <w:r>
        <w:rPr>
          <w:rFonts w:hint="eastAsia" w:ascii="宋体" w:hAnsi="宋体" w:cs="宋体"/>
          <w:b/>
          <w:bCs/>
          <w:sz w:val="24"/>
        </w:rPr>
        <w:t>第</w:t>
      </w:r>
      <w:r>
        <w:rPr>
          <w:rFonts w:hint="eastAsia" w:ascii="宋体" w:hAnsi="宋体" w:cs="宋体"/>
          <w:b/>
          <w:bCs/>
          <w:sz w:val="24"/>
          <w:lang w:val="en-US" w:eastAsia="zh-CN"/>
        </w:rPr>
        <w:t>二</w:t>
      </w:r>
      <w:r>
        <w:rPr>
          <w:rFonts w:hint="eastAsia" w:ascii="宋体" w:hAnsi="宋体" w:cs="宋体"/>
          <w:b/>
          <w:bCs/>
          <w:sz w:val="24"/>
        </w:rPr>
        <w:t>条</w:t>
      </w:r>
      <w:r>
        <w:rPr>
          <w:rFonts w:hint="eastAsia" w:ascii="宋体" w:hAnsi="宋体" w:cs="宋体"/>
          <w:b/>
          <w:bCs/>
          <w:sz w:val="24"/>
          <w:lang w:val="en-US" w:eastAsia="zh-CN"/>
        </w:rPr>
        <w:t xml:space="preserve"> 工期及地点</w:t>
      </w:r>
    </w:p>
    <w:p w14:paraId="794483AA">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 xml:space="preserve">1、 </w:t>
      </w:r>
      <w:r>
        <w:rPr>
          <w:rFonts w:hint="eastAsia" w:ascii="宋体" w:hAnsi="宋体" w:cs="仿宋_GB2312"/>
          <w:color w:val="000000"/>
          <w:sz w:val="24"/>
          <w:szCs w:val="24"/>
          <w:shd w:val="clear" w:color="auto" w:fill="FFFFFF"/>
        </w:rPr>
        <w:t>服务期：</w:t>
      </w:r>
      <w:r>
        <w:rPr>
          <w:rFonts w:hint="eastAsia" w:ascii="宋体" w:hAnsi="宋体" w:cs="宋体"/>
          <w:color w:val="000000"/>
          <w:sz w:val="24"/>
          <w:szCs w:val="24"/>
          <w:lang w:val="en-US" w:eastAsia="zh-CN"/>
        </w:rPr>
        <w:t>自合同签订之日起至  年  月，如遇特殊情况，经甲方同意后顺延</w:t>
      </w:r>
      <w:r>
        <w:rPr>
          <w:rFonts w:hint="eastAsia" w:ascii="宋体" w:hAnsi="宋体" w:cs="宋体"/>
          <w:color w:val="000000"/>
          <w:sz w:val="24"/>
          <w:szCs w:val="24"/>
          <w:lang w:eastAsia="zh-CN"/>
        </w:rPr>
        <w:t>。</w:t>
      </w:r>
    </w:p>
    <w:p w14:paraId="1938440C">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2、</w:t>
      </w:r>
      <w:r>
        <w:rPr>
          <w:rFonts w:hint="eastAsia" w:ascii="宋体" w:hAnsi="宋体" w:cs="仿宋_GB2312"/>
          <w:color w:val="000000"/>
          <w:sz w:val="24"/>
          <w:szCs w:val="24"/>
          <w:shd w:val="clear" w:color="auto" w:fill="FFFFFF"/>
        </w:rPr>
        <w:t>服务地点：</w:t>
      </w:r>
      <w:r>
        <w:rPr>
          <w:rFonts w:hint="eastAsia" w:ascii="宋体" w:hAnsi="宋体" w:cs="宋体"/>
          <w:color w:val="000000"/>
          <w:sz w:val="24"/>
          <w:szCs w:val="24"/>
          <w:lang w:val="en-US" w:eastAsia="zh-CN"/>
        </w:rPr>
        <w:t>甲方指定地点</w:t>
      </w:r>
      <w:r>
        <w:rPr>
          <w:rFonts w:hint="eastAsia" w:ascii="宋体" w:hAnsi="宋体" w:cs="仿宋_GB2312"/>
          <w:color w:val="000000"/>
          <w:sz w:val="24"/>
          <w:szCs w:val="24"/>
          <w:shd w:val="clear" w:color="auto" w:fill="FFFFFF"/>
        </w:rPr>
        <w:t>。</w:t>
      </w:r>
    </w:p>
    <w:p w14:paraId="1CBAF083">
      <w:pPr>
        <w:keepNext w:val="0"/>
        <w:keepLines w:val="0"/>
        <w:pageBreakBefore w:val="0"/>
        <w:widowControl w:val="0"/>
        <w:kinsoku/>
        <w:wordWrap/>
        <w:overflowPunct w:val="0"/>
        <w:autoSpaceDE/>
        <w:autoSpaceDN w:val="0"/>
        <w:bidi w:val="0"/>
        <w:adjustRightInd w:val="0"/>
        <w:snapToGrid w:val="0"/>
        <w:spacing w:line="360" w:lineRule="auto"/>
        <w:rPr>
          <w:rFonts w:ascii="宋体" w:hAnsi="宋体" w:cs="仿宋_GB2312"/>
          <w:b/>
          <w:color w:val="000000"/>
          <w:sz w:val="24"/>
          <w:szCs w:val="24"/>
          <w:shd w:val="clear" w:color="auto" w:fill="FFFFFF"/>
        </w:rPr>
      </w:pPr>
      <w:r>
        <w:rPr>
          <w:rFonts w:hint="eastAsia" w:ascii="宋体" w:hAnsi="宋体" w:cs="仿宋_GB2312"/>
          <w:b/>
          <w:color w:val="000000"/>
          <w:sz w:val="24"/>
          <w:szCs w:val="24"/>
          <w:shd w:val="clear" w:color="auto" w:fill="FFFFFF"/>
          <w:lang w:val="en-US" w:eastAsia="zh-CN"/>
        </w:rPr>
        <w:t xml:space="preserve">第三条 </w:t>
      </w:r>
      <w:r>
        <w:rPr>
          <w:rFonts w:hint="eastAsia" w:ascii="宋体" w:hAnsi="宋体" w:cs="仿宋_GB2312"/>
          <w:b/>
          <w:color w:val="000000"/>
          <w:sz w:val="24"/>
          <w:szCs w:val="24"/>
          <w:shd w:val="clear" w:color="auto" w:fill="FFFFFF"/>
        </w:rPr>
        <w:t>合同价格及支付</w:t>
      </w:r>
    </w:p>
    <w:p w14:paraId="4A34ABB7">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1、</w:t>
      </w:r>
      <w:r>
        <w:rPr>
          <w:rFonts w:hint="eastAsia" w:ascii="宋体" w:hAnsi="宋体" w:cs="仿宋_GB2312"/>
          <w:color w:val="000000"/>
          <w:sz w:val="24"/>
          <w:szCs w:val="24"/>
          <w:shd w:val="clear" w:color="auto" w:fill="FFFFFF"/>
        </w:rPr>
        <w:t>合同金额为（大写）：人民币</w:t>
      </w:r>
      <w:r>
        <w:rPr>
          <w:rFonts w:hint="eastAsia" w:ascii="宋体" w:hAnsi="宋体" w:cs="仿宋_GB2312"/>
          <w:color w:val="000000"/>
          <w:sz w:val="24"/>
          <w:szCs w:val="24"/>
          <w:u w:val="single"/>
          <w:shd w:val="clear" w:color="auto" w:fill="FFFFFF"/>
        </w:rPr>
        <w:t xml:space="preserve"> </w:t>
      </w:r>
      <w:r>
        <w:rPr>
          <w:rFonts w:hint="eastAsia" w:ascii="宋体" w:hAnsi="宋体" w:cs="仿宋_GB2312"/>
          <w:color w:val="000000"/>
          <w:sz w:val="24"/>
          <w:szCs w:val="24"/>
          <w:u w:val="single"/>
          <w:shd w:val="clear" w:color="auto" w:fill="FFFFFF"/>
          <w:lang w:val="en-US" w:eastAsia="zh-CN"/>
        </w:rPr>
        <w:t xml:space="preserve">      </w:t>
      </w:r>
      <w:r>
        <w:rPr>
          <w:rFonts w:hint="eastAsia" w:ascii="宋体" w:hAnsi="宋体" w:cs="仿宋_GB2312"/>
          <w:color w:val="000000"/>
          <w:sz w:val="24"/>
          <w:szCs w:val="24"/>
          <w:shd w:val="clear" w:color="auto" w:fill="FFFFFF"/>
        </w:rPr>
        <w:t>（¥</w:t>
      </w:r>
      <w:r>
        <w:rPr>
          <w:rFonts w:hint="eastAsia" w:ascii="宋体" w:hAnsi="宋体" w:cs="仿宋_GB2312"/>
          <w:color w:val="000000"/>
          <w:sz w:val="24"/>
          <w:szCs w:val="24"/>
          <w:u w:val="single"/>
          <w:shd w:val="clear" w:color="auto" w:fill="FFFFFF"/>
          <w:lang w:val="en-US" w:eastAsia="zh-CN"/>
        </w:rPr>
        <w:t xml:space="preserve">     </w:t>
      </w:r>
      <w:r>
        <w:rPr>
          <w:rFonts w:hint="eastAsia" w:ascii="宋体" w:hAnsi="宋体" w:cs="仿宋_GB2312"/>
          <w:color w:val="000000"/>
          <w:sz w:val="24"/>
          <w:szCs w:val="24"/>
          <w:u w:val="single"/>
          <w:shd w:val="clear" w:color="auto" w:fill="FFFFFF"/>
        </w:rPr>
        <w:t xml:space="preserve"> </w:t>
      </w:r>
      <w:r>
        <w:rPr>
          <w:rFonts w:hint="eastAsia" w:ascii="宋体" w:hAnsi="宋体" w:cs="仿宋_GB2312"/>
          <w:color w:val="000000"/>
          <w:sz w:val="24"/>
          <w:szCs w:val="24"/>
          <w:shd w:val="clear" w:color="auto" w:fill="FFFFFF"/>
        </w:rPr>
        <w:t>元）。</w:t>
      </w:r>
    </w:p>
    <w:p w14:paraId="76C6297D">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sz w:val="24"/>
        </w:rPr>
      </w:pPr>
      <w:bookmarkStart w:id="2" w:name="_Toc18916_WPSOffice_Level2"/>
      <w:bookmarkStart w:id="3" w:name="_Toc12297"/>
      <w:bookmarkStart w:id="4" w:name="_Toc10784"/>
      <w:r>
        <w:rPr>
          <w:rFonts w:hint="eastAsia" w:ascii="宋体" w:hAnsi="宋体"/>
          <w:sz w:val="24"/>
        </w:rPr>
        <w:t>2.项目经费由甲方</w:t>
      </w:r>
      <w:r>
        <w:rPr>
          <w:rFonts w:hint="eastAsia" w:ascii="宋体" w:hAnsi="宋体"/>
          <w:sz w:val="24"/>
          <w:u w:val="none"/>
          <w:lang w:val="en-US" w:eastAsia="zh-CN"/>
        </w:rPr>
        <w:t>一次性</w:t>
      </w:r>
      <w:r>
        <w:rPr>
          <w:rFonts w:hint="eastAsia" w:ascii="宋体" w:hAnsi="宋体"/>
          <w:sz w:val="24"/>
        </w:rPr>
        <w:t>支付</w:t>
      </w:r>
    </w:p>
    <w:p w14:paraId="4AD7A80A">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仿宋_GB2312"/>
          <w:color w:val="000000"/>
          <w:sz w:val="24"/>
          <w:szCs w:val="24"/>
          <w:shd w:val="clear" w:color="auto" w:fill="FFFFFF"/>
        </w:rPr>
      </w:pPr>
      <w:bookmarkStart w:id="5" w:name="_Toc24649"/>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lang w:val="en-US" w:eastAsia="zh-CN"/>
        </w:rPr>
        <w:t>1</w:t>
      </w: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rPr>
        <w:t>结算单位：采购人结算，在付款前必须开具等额发票给采购人。</w:t>
      </w:r>
      <w:bookmarkEnd w:id="5"/>
    </w:p>
    <w:p w14:paraId="45B845B8">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lang w:val="en-US" w:eastAsia="zh-CN"/>
        </w:rPr>
        <w:t>2</w:t>
      </w: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rPr>
        <w:t>付款方式：无预付款，该项目验收完成后，及时全额支付。</w:t>
      </w:r>
    </w:p>
    <w:p w14:paraId="65717AB0">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lang w:val="en-US" w:eastAsia="zh-CN"/>
        </w:rPr>
        <w:t>3</w:t>
      </w: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rPr>
        <w:t>支付方式：银行转账。</w:t>
      </w:r>
    </w:p>
    <w:p w14:paraId="4DE2847E">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仿宋" w:hAnsi="仿宋" w:eastAsia="仿宋"/>
          <w:sz w:val="28"/>
          <w:szCs w:val="28"/>
        </w:rPr>
      </w:pP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lang w:val="en-US" w:eastAsia="zh-CN"/>
        </w:rPr>
        <w:t>4</w:t>
      </w:r>
      <w:r>
        <w:rPr>
          <w:rFonts w:hint="eastAsia" w:ascii="宋体" w:hAnsi="宋体" w:cs="仿宋_GB2312"/>
          <w:color w:val="000000"/>
          <w:sz w:val="24"/>
          <w:szCs w:val="24"/>
          <w:shd w:val="clear" w:color="auto" w:fill="FFFFFF"/>
          <w:lang w:eastAsia="zh-CN"/>
        </w:rPr>
        <w:t>）</w:t>
      </w:r>
      <w:r>
        <w:rPr>
          <w:rFonts w:hint="eastAsia" w:ascii="宋体" w:hAnsi="宋体" w:cs="仿宋_GB2312"/>
          <w:color w:val="000000"/>
          <w:sz w:val="24"/>
          <w:szCs w:val="24"/>
          <w:shd w:val="clear" w:color="auto" w:fill="FFFFFF"/>
        </w:rPr>
        <w:t>结算方式：乙方在接受付款前开具等额发票给甲方</w:t>
      </w:r>
      <w:r>
        <w:rPr>
          <w:rFonts w:hint="eastAsia" w:ascii="仿宋" w:hAnsi="仿宋" w:eastAsia="仿宋"/>
          <w:sz w:val="28"/>
          <w:szCs w:val="28"/>
        </w:rPr>
        <w:t>。</w:t>
      </w:r>
    </w:p>
    <w:p w14:paraId="209F0A58">
      <w:pPr>
        <w:keepNext w:val="0"/>
        <w:keepLines w:val="0"/>
        <w:pageBreakBefore w:val="0"/>
        <w:widowControl w:val="0"/>
        <w:kinsoku/>
        <w:wordWrap/>
        <w:overflowPunct w:val="0"/>
        <w:autoSpaceDE/>
        <w:autoSpaceDN w:val="0"/>
        <w:bidi w:val="0"/>
        <w:adjustRightInd w:val="0"/>
        <w:snapToGrid w:val="0"/>
        <w:spacing w:line="360" w:lineRule="auto"/>
        <w:rPr>
          <w:rFonts w:hint="eastAsia" w:ascii="宋体" w:hAnsi="宋体" w:eastAsia="宋体" w:cs="仿宋_GB2312"/>
          <w:b/>
          <w:color w:val="000000"/>
          <w:sz w:val="24"/>
          <w:szCs w:val="24"/>
          <w:shd w:val="clear" w:color="auto" w:fill="FFFFFF"/>
          <w:lang w:eastAsia="zh-CN"/>
        </w:rPr>
      </w:pPr>
      <w:r>
        <w:rPr>
          <w:rFonts w:hint="eastAsia" w:ascii="宋体" w:hAnsi="宋体" w:cs="仿宋_GB2312"/>
          <w:b/>
          <w:color w:val="000000"/>
          <w:sz w:val="24"/>
          <w:szCs w:val="24"/>
          <w:shd w:val="clear" w:color="auto" w:fill="FFFFFF"/>
          <w:lang w:val="en-US" w:eastAsia="zh-CN"/>
        </w:rPr>
        <w:t>第四条</w:t>
      </w:r>
      <w:r>
        <w:rPr>
          <w:rFonts w:ascii="宋体" w:hAnsi="宋体" w:cs="仿宋_GB2312"/>
          <w:b/>
          <w:color w:val="000000"/>
          <w:sz w:val="24"/>
          <w:szCs w:val="24"/>
          <w:shd w:val="clear" w:color="auto" w:fill="FFFFFF"/>
        </w:rPr>
        <w:t>.</w:t>
      </w:r>
      <w:r>
        <w:rPr>
          <w:rFonts w:hint="eastAsia" w:ascii="宋体" w:hAnsi="宋体" w:cs="仿宋_GB2312"/>
          <w:b/>
          <w:color w:val="000000"/>
          <w:sz w:val="24"/>
          <w:szCs w:val="24"/>
          <w:shd w:val="clear" w:color="auto" w:fill="FFFFFF"/>
        </w:rPr>
        <w:t>服务</w:t>
      </w:r>
      <w:bookmarkEnd w:id="2"/>
      <w:r>
        <w:rPr>
          <w:rFonts w:hint="eastAsia" w:ascii="宋体" w:hAnsi="宋体" w:cs="仿宋_GB2312"/>
          <w:b/>
          <w:color w:val="000000"/>
          <w:sz w:val="24"/>
          <w:szCs w:val="24"/>
          <w:shd w:val="clear" w:color="auto" w:fill="FFFFFF"/>
        </w:rPr>
        <w:t>要求</w:t>
      </w:r>
      <w:r>
        <w:rPr>
          <w:rFonts w:hint="eastAsia" w:ascii="宋体" w:hAnsi="宋体" w:cs="仿宋_GB2312"/>
          <w:b/>
          <w:color w:val="000000"/>
          <w:sz w:val="24"/>
          <w:szCs w:val="24"/>
          <w:shd w:val="clear" w:color="auto" w:fill="FFFFFF"/>
          <w:lang w:eastAsia="zh-CN"/>
        </w:rPr>
        <w:t>、</w:t>
      </w:r>
      <w:r>
        <w:rPr>
          <w:rFonts w:hint="eastAsia" w:ascii="宋体" w:hAnsi="宋体" w:cs="仿宋_GB2312"/>
          <w:b/>
          <w:color w:val="000000"/>
          <w:sz w:val="24"/>
          <w:szCs w:val="24"/>
          <w:shd w:val="clear" w:color="auto" w:fill="FFFFFF"/>
        </w:rPr>
        <w:t>标准</w:t>
      </w:r>
      <w:r>
        <w:rPr>
          <w:rFonts w:hint="eastAsia" w:ascii="宋体" w:hAnsi="宋体" w:cs="仿宋_GB2312"/>
          <w:b/>
          <w:color w:val="000000"/>
          <w:sz w:val="24"/>
          <w:szCs w:val="24"/>
          <w:shd w:val="clear" w:color="auto" w:fill="FFFFFF"/>
          <w:lang w:eastAsia="zh-CN"/>
        </w:rPr>
        <w:t>及项目成果要求</w:t>
      </w:r>
    </w:p>
    <w:bookmarkEnd w:id="3"/>
    <w:bookmarkEnd w:id="4"/>
    <w:p w14:paraId="738883EE">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1、服务要求：</w:t>
      </w:r>
      <w:r>
        <w:rPr>
          <w:rFonts w:hint="eastAsia" w:ascii="宋体" w:hAnsi="宋体" w:cs="仿宋_GB2312"/>
          <w:color w:val="000000"/>
          <w:sz w:val="24"/>
          <w:szCs w:val="24"/>
          <w:shd w:val="clear" w:color="auto" w:fill="FFFFFF"/>
        </w:rPr>
        <w:t>在合同执行过程中需要服务商应执行的相关服务标准和应当履行的相关义务。</w:t>
      </w:r>
    </w:p>
    <w:p w14:paraId="1687B12F">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cs="仿宋_GB2312"/>
          <w:color w:val="000000"/>
          <w:sz w:val="24"/>
          <w:szCs w:val="24"/>
          <w:shd w:val="clear" w:color="auto" w:fill="FFFFFF"/>
          <w:lang w:val="en-US" w:eastAsia="zh-CN"/>
        </w:rPr>
      </w:pPr>
      <w:r>
        <w:rPr>
          <w:rFonts w:hint="eastAsia" w:ascii="宋体" w:hAnsi="宋体" w:cs="仿宋_GB2312"/>
          <w:color w:val="000000"/>
          <w:sz w:val="24"/>
          <w:szCs w:val="24"/>
          <w:shd w:val="clear" w:color="auto" w:fill="FFFFFF"/>
          <w:lang w:val="en-US" w:eastAsia="zh-CN"/>
        </w:rPr>
        <w:t>供应商须进一步细化年度项目实施方案，明确各项技术措施数量指标。服务期内需对土壤进行修复研究，对土壤、农产品采样等，建立实验示范点，对受污染土地施加有机肥等相关措施，确保受污染耕地能得到有效恢复。</w:t>
      </w:r>
    </w:p>
    <w:p w14:paraId="25279B88">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hint="eastAsia" w:ascii="宋体" w:hAnsi="宋体" w:eastAsia="宋体" w:cs="仿宋_GB2312"/>
          <w:color w:val="000000"/>
          <w:sz w:val="24"/>
          <w:szCs w:val="24"/>
          <w:shd w:val="clear" w:color="auto" w:fill="FFFFFF"/>
          <w:lang w:val="en-US" w:eastAsia="zh-CN"/>
        </w:rPr>
      </w:pPr>
      <w:r>
        <w:rPr>
          <w:rFonts w:hint="eastAsia" w:ascii="宋体" w:hAnsi="宋体" w:cs="仿宋_GB2312"/>
          <w:color w:val="000000"/>
          <w:sz w:val="24"/>
          <w:szCs w:val="24"/>
          <w:shd w:val="clear" w:color="auto" w:fill="FFFFFF"/>
          <w:lang w:val="en-US" w:eastAsia="zh-CN"/>
        </w:rPr>
        <w:t>2、 标准：</w:t>
      </w:r>
      <w:r>
        <w:rPr>
          <w:rFonts w:ascii="宋体" w:hAnsi="宋体" w:cs="仿宋_GB2312"/>
          <w:color w:val="000000"/>
          <w:sz w:val="24"/>
          <w:szCs w:val="24"/>
          <w:shd w:val="clear" w:color="auto" w:fill="FFFFFF"/>
        </w:rPr>
        <w:t xml:space="preserve"> </w:t>
      </w:r>
      <w:r>
        <w:rPr>
          <w:rFonts w:hint="eastAsia" w:ascii="宋体" w:hAnsi="宋体" w:cs="仿宋_GB2312"/>
          <w:color w:val="000000"/>
          <w:sz w:val="24"/>
          <w:szCs w:val="24"/>
          <w:shd w:val="clear" w:color="auto" w:fill="FFFFFF"/>
        </w:rPr>
        <w:t>符合国家规定的标准。</w:t>
      </w:r>
    </w:p>
    <w:p w14:paraId="614CF685">
      <w:pPr>
        <w:keepNext w:val="0"/>
        <w:keepLines w:val="0"/>
        <w:pageBreakBefore w:val="0"/>
        <w:widowControl w:val="0"/>
        <w:numPr>
          <w:ilvl w:val="0"/>
          <w:numId w:val="0"/>
        </w:numPr>
        <w:kinsoku/>
        <w:wordWrap/>
        <w:autoSpaceDE/>
        <w:bidi w:val="0"/>
        <w:spacing w:line="360" w:lineRule="auto"/>
        <w:ind w:firstLine="240" w:firstLineChars="100"/>
        <w:rPr>
          <w:rFonts w:hint="default" w:ascii="宋体" w:hAnsi="宋体" w:cs="宋体"/>
          <w:b w:val="0"/>
          <w:bCs w:val="0"/>
          <w:sz w:val="24"/>
          <w:lang w:val="en-US" w:eastAsia="zh-CN"/>
        </w:rPr>
      </w:pPr>
      <w:r>
        <w:rPr>
          <w:rFonts w:hint="eastAsia" w:ascii="宋体" w:hAnsi="宋体" w:cs="宋体"/>
          <w:b w:val="0"/>
          <w:bCs w:val="0"/>
          <w:sz w:val="24"/>
          <w:lang w:val="en-US" w:eastAsia="zh-CN"/>
        </w:rPr>
        <w:t>3、 成果要求：1）项目工作报告</w:t>
      </w:r>
      <w:r>
        <w:rPr>
          <w:rFonts w:hint="eastAsia" w:ascii="宋体" w:hAnsi="宋体" w:cs="宋体"/>
          <w:b w:val="0"/>
          <w:bCs w:val="0"/>
          <w:sz w:val="24"/>
          <w:u w:val="single"/>
          <w:lang w:val="en-US" w:eastAsia="zh-CN"/>
        </w:rPr>
        <w:t xml:space="preserve">   </w:t>
      </w:r>
      <w:r>
        <w:rPr>
          <w:rFonts w:hint="eastAsia" w:ascii="宋体" w:hAnsi="宋体" w:cs="宋体"/>
          <w:b w:val="0"/>
          <w:bCs w:val="0"/>
          <w:sz w:val="24"/>
          <w:lang w:val="en-US" w:eastAsia="zh-CN"/>
        </w:rPr>
        <w:t>份；</w:t>
      </w:r>
    </w:p>
    <w:p w14:paraId="795B6C6E">
      <w:pPr>
        <w:keepNext w:val="0"/>
        <w:keepLines w:val="0"/>
        <w:pageBreakBefore w:val="0"/>
        <w:widowControl w:val="0"/>
        <w:numPr>
          <w:ilvl w:val="0"/>
          <w:numId w:val="0"/>
        </w:numPr>
        <w:kinsoku/>
        <w:wordWrap/>
        <w:autoSpaceDE/>
        <w:bidi w:val="0"/>
        <w:spacing w:line="360" w:lineRule="auto"/>
        <w:ind w:firstLine="1920" w:firstLineChars="800"/>
        <w:rPr>
          <w:sz w:val="28"/>
          <w:szCs w:val="28"/>
        </w:rPr>
      </w:pPr>
      <w:r>
        <w:rPr>
          <w:rFonts w:hint="eastAsia" w:ascii="宋体" w:hAnsi="宋体" w:cs="宋体"/>
          <w:b w:val="0"/>
          <w:bCs w:val="0"/>
          <w:sz w:val="24"/>
          <w:lang w:val="en-US" w:eastAsia="zh-CN"/>
        </w:rPr>
        <w:t>2）项目技术报告</w:t>
      </w:r>
      <w:r>
        <w:rPr>
          <w:rFonts w:hint="eastAsia" w:ascii="宋体" w:hAnsi="宋体" w:cs="宋体"/>
          <w:b w:val="0"/>
          <w:bCs w:val="0"/>
          <w:sz w:val="24"/>
          <w:u w:val="single"/>
          <w:lang w:val="en-US" w:eastAsia="zh-CN"/>
        </w:rPr>
        <w:t xml:space="preserve">   </w:t>
      </w:r>
      <w:r>
        <w:rPr>
          <w:rFonts w:hint="eastAsia" w:ascii="宋体" w:hAnsi="宋体" w:cs="宋体"/>
          <w:b w:val="0"/>
          <w:bCs w:val="0"/>
          <w:sz w:val="24"/>
          <w:lang w:val="en-US" w:eastAsia="zh-CN"/>
        </w:rPr>
        <w:t>份</w:t>
      </w:r>
      <w:r>
        <w:rPr>
          <w:sz w:val="28"/>
          <w:szCs w:val="28"/>
        </w:rPr>
        <w:t>；</w:t>
      </w:r>
    </w:p>
    <w:p w14:paraId="540C8598">
      <w:pPr>
        <w:keepNext w:val="0"/>
        <w:keepLines w:val="0"/>
        <w:pageBreakBefore w:val="0"/>
        <w:widowControl w:val="0"/>
        <w:kinsoku/>
        <w:wordWrap/>
        <w:autoSpaceDE/>
        <w:bidi w:val="0"/>
        <w:spacing w:line="360" w:lineRule="auto"/>
        <w:ind w:firstLine="1920" w:firstLineChars="800"/>
        <w:rPr>
          <w:rFonts w:hint="eastAsia" w:ascii="宋体" w:hAnsi="宋体" w:cs="宋体"/>
          <w:b/>
          <w:bCs/>
          <w:sz w:val="24"/>
        </w:rPr>
      </w:pPr>
      <w:r>
        <w:rPr>
          <w:rFonts w:hint="eastAsia" w:ascii="宋体" w:hAnsi="宋体" w:cs="宋体"/>
          <w:b w:val="0"/>
          <w:bCs w:val="0"/>
          <w:sz w:val="24"/>
          <w:lang w:val="en-US" w:eastAsia="zh-CN"/>
        </w:rPr>
        <w:t>3）项目技术规程</w:t>
      </w:r>
      <w:r>
        <w:rPr>
          <w:rFonts w:hint="eastAsia" w:ascii="宋体" w:hAnsi="宋体" w:cs="宋体"/>
          <w:b w:val="0"/>
          <w:bCs w:val="0"/>
          <w:sz w:val="24"/>
          <w:u w:val="single"/>
          <w:lang w:val="en-US" w:eastAsia="zh-CN"/>
        </w:rPr>
        <w:t xml:space="preserve">   </w:t>
      </w:r>
      <w:r>
        <w:rPr>
          <w:rFonts w:hint="eastAsia" w:ascii="宋体" w:hAnsi="宋体" w:cs="宋体"/>
          <w:b w:val="0"/>
          <w:bCs w:val="0"/>
          <w:sz w:val="24"/>
          <w:lang w:val="en-US" w:eastAsia="zh-CN"/>
        </w:rPr>
        <w:t>份 。</w:t>
      </w:r>
    </w:p>
    <w:p w14:paraId="3C36458C">
      <w:pPr>
        <w:keepNext w:val="0"/>
        <w:keepLines w:val="0"/>
        <w:pageBreakBefore w:val="0"/>
        <w:widowControl w:val="0"/>
        <w:kinsoku/>
        <w:wordWrap/>
        <w:autoSpaceDE/>
        <w:bidi w:val="0"/>
        <w:spacing w:line="360" w:lineRule="auto"/>
        <w:rPr>
          <w:rFonts w:ascii="宋体" w:hAnsi="宋体" w:cs="宋体"/>
          <w:b/>
          <w:bCs/>
          <w:sz w:val="24"/>
        </w:rPr>
      </w:pPr>
      <w:r>
        <w:rPr>
          <w:rFonts w:hint="eastAsia" w:ascii="宋体" w:hAnsi="宋体" w:cs="宋体"/>
          <w:b/>
          <w:bCs/>
          <w:sz w:val="24"/>
        </w:rPr>
        <w:t>第</w:t>
      </w:r>
      <w:r>
        <w:rPr>
          <w:rFonts w:hint="eastAsia" w:ascii="宋体" w:hAnsi="宋体" w:cs="宋体"/>
          <w:b/>
          <w:bCs/>
          <w:sz w:val="24"/>
          <w:lang w:eastAsia="zh-CN"/>
        </w:rPr>
        <w:t>五</w:t>
      </w:r>
      <w:r>
        <w:rPr>
          <w:rFonts w:hint="eastAsia" w:ascii="宋体" w:hAnsi="宋体" w:cs="宋体"/>
          <w:b/>
          <w:bCs/>
          <w:sz w:val="24"/>
        </w:rPr>
        <w:t>条 甲方的权利和义务</w:t>
      </w:r>
    </w:p>
    <w:p w14:paraId="7CEE9F08">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1、</w:t>
      </w:r>
      <w:r>
        <w:rPr>
          <w:rFonts w:hint="eastAsia" w:ascii="宋体" w:hAnsi="宋体" w:cs="宋体"/>
          <w:sz w:val="24"/>
        </w:rPr>
        <w:t>甲方有权对合同规定范围内乙方的服务行为进行监督和检查，拥有监管权。有权定期核对乙方提供服务所配备的人员数量。对甲方认为不合理的部分有权下达整改通知书，并要求乙方限期整改。</w:t>
      </w:r>
    </w:p>
    <w:p w14:paraId="74923557">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2、</w:t>
      </w:r>
      <w:r>
        <w:rPr>
          <w:rFonts w:hint="eastAsia" w:ascii="宋体" w:hAnsi="宋体" w:cs="宋体"/>
          <w:sz w:val="24"/>
        </w:rPr>
        <w:t xml:space="preserve">甲方有权依据双方签订的考评办法对乙方提供的服务进行定期考评。 </w:t>
      </w:r>
    </w:p>
    <w:p w14:paraId="62A99614">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3、</w:t>
      </w:r>
      <w:r>
        <w:rPr>
          <w:rFonts w:hint="eastAsia" w:ascii="宋体" w:hAnsi="宋体" w:cs="宋体"/>
          <w:sz w:val="24"/>
        </w:rPr>
        <w:t>负责检查监督乙方管理工作的实施及制度的执行情况。</w:t>
      </w:r>
    </w:p>
    <w:p w14:paraId="42D4B305">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4、</w:t>
      </w:r>
      <w:r>
        <w:rPr>
          <w:rFonts w:hint="eastAsia" w:ascii="宋体" w:hAnsi="宋体" w:cs="宋体"/>
          <w:sz w:val="24"/>
        </w:rPr>
        <w:t>根据本合同规定，按时向乙方支付服务费用。</w:t>
      </w:r>
    </w:p>
    <w:p w14:paraId="587BDFDC">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5、</w:t>
      </w:r>
      <w:r>
        <w:rPr>
          <w:rFonts w:hint="eastAsia" w:ascii="宋体" w:hAnsi="宋体" w:cs="宋体"/>
          <w:sz w:val="24"/>
        </w:rPr>
        <w:t>国家法律、法规所规定由甲方承担的其它责任。</w:t>
      </w:r>
    </w:p>
    <w:p w14:paraId="5D13EB85">
      <w:pPr>
        <w:keepNext w:val="0"/>
        <w:keepLines w:val="0"/>
        <w:pageBreakBefore w:val="0"/>
        <w:widowControl w:val="0"/>
        <w:kinsoku/>
        <w:wordWrap/>
        <w:autoSpaceDE/>
        <w:bidi w:val="0"/>
        <w:spacing w:line="360" w:lineRule="auto"/>
        <w:rPr>
          <w:rFonts w:ascii="宋体" w:hAnsi="宋体" w:cs="宋体"/>
          <w:b/>
          <w:bCs/>
          <w:sz w:val="24"/>
        </w:rPr>
      </w:pPr>
      <w:r>
        <w:rPr>
          <w:rFonts w:hint="eastAsia" w:ascii="宋体" w:hAnsi="宋体" w:cs="宋体"/>
          <w:b/>
          <w:bCs/>
          <w:sz w:val="24"/>
        </w:rPr>
        <w:t>第</w:t>
      </w:r>
      <w:r>
        <w:rPr>
          <w:rFonts w:hint="eastAsia" w:ascii="宋体" w:hAnsi="宋体" w:cs="宋体"/>
          <w:b/>
          <w:bCs/>
          <w:sz w:val="24"/>
          <w:lang w:eastAsia="zh-CN"/>
        </w:rPr>
        <w:t>六</w:t>
      </w:r>
      <w:r>
        <w:rPr>
          <w:rFonts w:hint="eastAsia" w:ascii="宋体" w:hAnsi="宋体" w:cs="宋体"/>
          <w:b/>
          <w:bCs/>
          <w:sz w:val="24"/>
        </w:rPr>
        <w:t>条 乙方的权利和义务</w:t>
      </w:r>
    </w:p>
    <w:p w14:paraId="060CDD1B">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1、</w:t>
      </w:r>
      <w:r>
        <w:rPr>
          <w:rFonts w:hint="eastAsia" w:ascii="宋体" w:hAnsi="宋体" w:cs="宋体"/>
          <w:sz w:val="24"/>
        </w:rPr>
        <w:t>对本合同规定的委托服务范围内的项目享有管理权及服务义务。</w:t>
      </w:r>
    </w:p>
    <w:p w14:paraId="60461841">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2、</w:t>
      </w:r>
      <w:r>
        <w:rPr>
          <w:rFonts w:hint="eastAsia" w:ascii="宋体" w:hAnsi="宋体" w:cs="宋体"/>
          <w:sz w:val="24"/>
        </w:rPr>
        <w:t>根据本合同的规定向甲方收取相关服务费用，并有权在本项目管理范围内管理及合理使用。</w:t>
      </w:r>
    </w:p>
    <w:p w14:paraId="0324C0A7">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3、</w:t>
      </w:r>
      <w:r>
        <w:rPr>
          <w:rFonts w:hint="eastAsia" w:ascii="宋体" w:hAnsi="宋体" w:cs="宋体"/>
          <w:sz w:val="24"/>
        </w:rPr>
        <w:t>及时向甲方通告本项目服务范围内有关服务的重大事项，及时配合处理投诉。</w:t>
      </w:r>
    </w:p>
    <w:p w14:paraId="21E623F3">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4、</w:t>
      </w:r>
      <w:r>
        <w:rPr>
          <w:rFonts w:hint="eastAsia" w:ascii="宋体" w:hAnsi="宋体" w:cs="宋体"/>
          <w:sz w:val="24"/>
        </w:rPr>
        <w:t>接受项目行业管理部门及政府有关部门的指导，接受甲方的监督。</w:t>
      </w:r>
    </w:p>
    <w:p w14:paraId="0CE85741">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lang w:val="en-US" w:eastAsia="zh-CN"/>
        </w:rPr>
        <w:t>5、</w:t>
      </w:r>
      <w:r>
        <w:rPr>
          <w:rFonts w:hint="eastAsia" w:ascii="宋体" w:hAnsi="宋体" w:cs="宋体"/>
          <w:sz w:val="24"/>
        </w:rPr>
        <w:t>国家法律、法规所规定由乙方承担的其它责任。</w:t>
      </w:r>
    </w:p>
    <w:p w14:paraId="0418848D">
      <w:pPr>
        <w:keepNext w:val="0"/>
        <w:keepLines w:val="0"/>
        <w:pageBreakBefore w:val="0"/>
        <w:widowControl w:val="0"/>
        <w:kinsoku/>
        <w:wordWrap/>
        <w:autoSpaceDE/>
        <w:bidi w:val="0"/>
        <w:spacing w:line="360" w:lineRule="auto"/>
        <w:rPr>
          <w:rFonts w:ascii="宋体" w:hAnsi="宋体" w:cs="仿宋_GB2312"/>
          <w:b/>
          <w:color w:val="000000"/>
          <w:sz w:val="24"/>
          <w:szCs w:val="24"/>
          <w:shd w:val="clear" w:color="auto" w:fill="FFFFFF"/>
        </w:rPr>
      </w:pPr>
      <w:r>
        <w:rPr>
          <w:rFonts w:hint="eastAsia" w:ascii="宋体" w:hAnsi="宋体" w:cs="仿宋_GB2312"/>
          <w:b/>
          <w:color w:val="000000"/>
          <w:sz w:val="24"/>
          <w:szCs w:val="24"/>
          <w:shd w:val="clear" w:color="auto" w:fill="FFFFFF"/>
          <w:lang w:val="en-US" w:eastAsia="zh-CN"/>
        </w:rPr>
        <w:t xml:space="preserve">第七条 </w:t>
      </w:r>
      <w:r>
        <w:rPr>
          <w:rFonts w:hint="eastAsia" w:ascii="宋体" w:hAnsi="宋体" w:cs="仿宋_GB2312"/>
          <w:b/>
          <w:color w:val="000000"/>
          <w:sz w:val="24"/>
          <w:szCs w:val="24"/>
          <w:shd w:val="clear" w:color="auto" w:fill="FFFFFF"/>
        </w:rPr>
        <w:t>违约责任</w:t>
      </w:r>
    </w:p>
    <w:bookmarkEnd w:id="0"/>
    <w:bookmarkEnd w:id="1"/>
    <w:p w14:paraId="3D2896A6">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1、</w:t>
      </w:r>
      <w:r>
        <w:rPr>
          <w:rFonts w:hint="eastAsia" w:ascii="宋体" w:hAnsi="宋体" w:cs="仿宋_GB2312"/>
          <w:color w:val="000000"/>
          <w:sz w:val="24"/>
          <w:szCs w:val="24"/>
          <w:shd w:val="clear" w:color="auto" w:fill="FFFFFF"/>
        </w:rPr>
        <w:t xml:space="preserve"> 本合同若与甲方的上级管理机关的政策性行为或其他规定发生冲突，甲方有权与乙方协商调整合同内容或终止合同执行。</w:t>
      </w:r>
    </w:p>
    <w:p w14:paraId="26F573D1">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2、</w:t>
      </w:r>
      <w:r>
        <w:rPr>
          <w:rFonts w:hint="eastAsia" w:ascii="宋体" w:hAnsi="宋体" w:cs="仿宋_GB2312"/>
          <w:color w:val="000000"/>
          <w:sz w:val="24"/>
          <w:szCs w:val="24"/>
          <w:shd w:val="clear" w:color="auto" w:fill="FFFFFF"/>
        </w:rPr>
        <w:t xml:space="preserve"> 如乙方提供</w:t>
      </w:r>
      <w:r>
        <w:rPr>
          <w:rFonts w:ascii="宋体" w:hAnsi="宋体" w:cs="仿宋_GB2312"/>
          <w:color w:val="000000"/>
          <w:sz w:val="24"/>
          <w:szCs w:val="24"/>
          <w:shd w:val="clear" w:color="auto" w:fill="FFFFFF"/>
        </w:rPr>
        <w:t>的服务标准</w:t>
      </w:r>
      <w:r>
        <w:rPr>
          <w:rFonts w:hint="eastAsia" w:ascii="宋体" w:hAnsi="宋体" w:cs="仿宋_GB2312"/>
          <w:color w:val="000000"/>
          <w:sz w:val="24"/>
          <w:szCs w:val="24"/>
          <w:shd w:val="clear" w:color="auto" w:fill="FFFFFF"/>
        </w:rPr>
        <w:t>与合同标准不相符合，则甲方有权拒收乙方提供的服务、解除本合同、拒付本合同项下的价款并追究乙方违约责任，乙方应返还甲方已支付的全部款项，并按合同总价款的</w:t>
      </w:r>
      <w:r>
        <w:rPr>
          <w:rFonts w:hint="eastAsia" w:ascii="宋体" w:hAnsi="宋体" w:cs="仿宋_GB2312"/>
          <w:color w:val="000000"/>
          <w:sz w:val="24"/>
          <w:szCs w:val="24"/>
          <w:u w:val="single"/>
          <w:shd w:val="clear" w:color="auto" w:fill="FFFFFF"/>
        </w:rPr>
        <w:t xml:space="preserve">20% </w:t>
      </w:r>
      <w:r>
        <w:rPr>
          <w:rFonts w:hint="eastAsia" w:ascii="宋体" w:hAnsi="宋体" w:cs="仿宋_GB2312"/>
          <w:color w:val="000000"/>
          <w:sz w:val="24"/>
          <w:szCs w:val="24"/>
          <w:shd w:val="clear" w:color="auto" w:fill="FFFFFF"/>
        </w:rPr>
        <w:t>向甲方支付违约金并赔偿甲方因此而遭受的一切损失。</w:t>
      </w:r>
    </w:p>
    <w:p w14:paraId="5FEF5BF2">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3、</w:t>
      </w:r>
      <w:r>
        <w:rPr>
          <w:rFonts w:hint="eastAsia" w:ascii="宋体" w:hAnsi="宋体" w:cs="仿宋_GB2312"/>
          <w:color w:val="000000"/>
          <w:sz w:val="24"/>
          <w:szCs w:val="24"/>
          <w:shd w:val="clear" w:color="auto" w:fill="FFFFFF"/>
        </w:rPr>
        <w:t>由于不可抗力（不可抗力仅指自然灾害、战争）所导致的违约，根据不可抗力的影响范围，可部分或全部免除违约方的违约责任，但违约方应及时通知对方并在不可抗力事件发生之日起5日内提供符合法律规定的证明文件，否则应赔偿对方因此而遭受的损失。</w:t>
      </w:r>
    </w:p>
    <w:p w14:paraId="72B0B539">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shd w:val="clear" w:color="auto" w:fill="FFFFFF"/>
        </w:rPr>
      </w:pPr>
      <w:r>
        <w:rPr>
          <w:rFonts w:hint="eastAsia" w:ascii="宋体" w:hAnsi="宋体" w:cs="仿宋_GB2312"/>
          <w:color w:val="000000"/>
          <w:sz w:val="24"/>
          <w:szCs w:val="24"/>
          <w:shd w:val="clear" w:color="auto" w:fill="FFFFFF"/>
          <w:lang w:val="en-US" w:eastAsia="zh-CN"/>
        </w:rPr>
        <w:t xml:space="preserve">4、 </w:t>
      </w:r>
      <w:r>
        <w:rPr>
          <w:rFonts w:ascii="宋体" w:hAnsi="宋体" w:cs="仿宋_GB2312"/>
          <w:color w:val="000000"/>
          <w:sz w:val="24"/>
          <w:szCs w:val="24"/>
          <w:shd w:val="clear" w:color="auto" w:fill="FFFFFF"/>
        </w:rPr>
        <w:t>未及之处</w:t>
      </w:r>
      <w:r>
        <w:rPr>
          <w:rFonts w:hint="eastAsia" w:ascii="宋体" w:hAnsi="宋体" w:cs="仿宋_GB2312"/>
          <w:color w:val="000000"/>
          <w:sz w:val="24"/>
          <w:szCs w:val="24"/>
          <w:shd w:val="clear" w:color="auto" w:fill="FFFFFF"/>
        </w:rPr>
        <w:t>按《民法典》中的相关条款执行。</w:t>
      </w:r>
    </w:p>
    <w:p w14:paraId="17F7B389">
      <w:pPr>
        <w:keepNext w:val="0"/>
        <w:keepLines w:val="0"/>
        <w:pageBreakBefore w:val="0"/>
        <w:widowControl w:val="0"/>
        <w:kinsoku/>
        <w:wordWrap/>
        <w:overflowPunct w:val="0"/>
        <w:autoSpaceDE/>
        <w:autoSpaceDN w:val="0"/>
        <w:bidi w:val="0"/>
        <w:adjustRightInd w:val="0"/>
        <w:snapToGrid w:val="0"/>
        <w:spacing w:line="360" w:lineRule="auto"/>
        <w:rPr>
          <w:rFonts w:ascii="宋体" w:hAnsi="宋体" w:cs="仿宋_GB2312"/>
          <w:b/>
          <w:color w:val="000000"/>
          <w:sz w:val="24"/>
          <w:szCs w:val="24"/>
          <w:shd w:val="clear" w:color="auto" w:fill="FFFFFF"/>
        </w:rPr>
      </w:pPr>
      <w:bookmarkStart w:id="6" w:name="_Toc14590"/>
      <w:bookmarkStart w:id="7" w:name="_Toc18421"/>
      <w:r>
        <w:rPr>
          <w:rFonts w:hint="eastAsia" w:ascii="宋体" w:hAnsi="宋体" w:cs="仿宋_GB2312"/>
          <w:b/>
          <w:color w:val="000000"/>
          <w:sz w:val="24"/>
          <w:szCs w:val="24"/>
          <w:shd w:val="clear" w:color="auto" w:fill="FFFFFF"/>
          <w:lang w:val="en-US" w:eastAsia="zh-CN"/>
        </w:rPr>
        <w:t xml:space="preserve">第八条 </w:t>
      </w:r>
      <w:r>
        <w:rPr>
          <w:rFonts w:hint="eastAsia" w:ascii="宋体" w:hAnsi="宋体" w:cs="仿宋_GB2312"/>
          <w:b/>
          <w:color w:val="000000"/>
          <w:sz w:val="24"/>
          <w:szCs w:val="24"/>
          <w:shd w:val="clear" w:color="auto" w:fill="FFFFFF"/>
        </w:rPr>
        <w:t>保密条款</w:t>
      </w:r>
      <w:bookmarkEnd w:id="6"/>
      <w:bookmarkEnd w:id="7"/>
    </w:p>
    <w:p w14:paraId="4DF6D952">
      <w:pPr>
        <w:keepNext w:val="0"/>
        <w:keepLines w:val="0"/>
        <w:pageBreakBefore w:val="0"/>
        <w:widowControl w:val="0"/>
        <w:kinsoku/>
        <w:wordWrap/>
        <w:overflowPunct w:val="0"/>
        <w:autoSpaceDE/>
        <w:autoSpaceDN w:val="0"/>
        <w:bidi w:val="0"/>
        <w:adjustRightInd w:val="0"/>
        <w:snapToGrid w:val="0"/>
        <w:spacing w:line="360" w:lineRule="auto"/>
        <w:ind w:firstLine="480" w:firstLineChars="200"/>
        <w:rPr>
          <w:rFonts w:ascii="宋体" w:hAnsi="宋体" w:cs="仿宋_GB2312"/>
          <w:color w:val="000000"/>
          <w:sz w:val="24"/>
          <w:szCs w:val="24"/>
        </w:rPr>
      </w:pPr>
      <w:r>
        <w:rPr>
          <w:rFonts w:hint="eastAsia" w:ascii="宋体" w:hAnsi="宋体" w:cs="仿宋_GB2312"/>
          <w:color w:val="000000"/>
          <w:sz w:val="24"/>
          <w:szCs w:val="24"/>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对本保密条款的遵守。</w:t>
      </w:r>
    </w:p>
    <w:p w14:paraId="74DE1DB3">
      <w:pPr>
        <w:keepNext w:val="0"/>
        <w:keepLines w:val="0"/>
        <w:pageBreakBefore w:val="0"/>
        <w:widowControl w:val="0"/>
        <w:kinsoku/>
        <w:wordWrap/>
        <w:overflowPunct w:val="0"/>
        <w:autoSpaceDE/>
        <w:autoSpaceDN w:val="0"/>
        <w:bidi w:val="0"/>
        <w:adjustRightInd w:val="0"/>
        <w:snapToGrid w:val="0"/>
        <w:spacing w:line="360" w:lineRule="auto"/>
        <w:rPr>
          <w:rFonts w:ascii="宋体" w:hAnsi="宋体" w:cs="仿宋_GB2312"/>
          <w:b/>
          <w:color w:val="000000"/>
          <w:sz w:val="24"/>
          <w:szCs w:val="24"/>
          <w:shd w:val="clear" w:color="auto" w:fill="FFFFFF"/>
        </w:rPr>
      </w:pPr>
      <w:bookmarkStart w:id="8" w:name="_Toc18460"/>
      <w:bookmarkStart w:id="9" w:name="_Toc24354"/>
      <w:r>
        <w:rPr>
          <w:rFonts w:hint="eastAsia" w:ascii="宋体" w:hAnsi="宋体" w:cs="仿宋_GB2312"/>
          <w:b/>
          <w:color w:val="000000"/>
          <w:sz w:val="24"/>
          <w:szCs w:val="24"/>
          <w:shd w:val="clear" w:color="auto" w:fill="FFFFFF"/>
          <w:lang w:val="en-US" w:eastAsia="zh-CN"/>
        </w:rPr>
        <w:t xml:space="preserve">第九条 </w:t>
      </w:r>
      <w:r>
        <w:rPr>
          <w:rFonts w:hint="eastAsia" w:ascii="宋体" w:hAnsi="宋体" w:cs="仿宋_GB2312"/>
          <w:b/>
          <w:color w:val="000000"/>
          <w:sz w:val="24"/>
          <w:szCs w:val="24"/>
          <w:shd w:val="clear" w:color="auto" w:fill="FFFFFF"/>
        </w:rPr>
        <w:t>合同</w:t>
      </w:r>
      <w:bookmarkEnd w:id="8"/>
      <w:bookmarkEnd w:id="9"/>
      <w:r>
        <w:rPr>
          <w:rFonts w:hint="eastAsia" w:ascii="宋体" w:hAnsi="宋体" w:cs="仿宋_GB2312"/>
          <w:b/>
          <w:color w:val="000000"/>
          <w:sz w:val="24"/>
          <w:szCs w:val="24"/>
          <w:shd w:val="clear" w:color="auto" w:fill="FFFFFF"/>
        </w:rPr>
        <w:t>保证</w:t>
      </w:r>
    </w:p>
    <w:p w14:paraId="202EC870">
      <w:pPr>
        <w:pStyle w:val="5"/>
        <w:keepNext w:val="0"/>
        <w:keepLines w:val="0"/>
        <w:pageBreakBefore w:val="0"/>
        <w:widowControl w:val="0"/>
        <w:kinsoku/>
        <w:wordWrap/>
        <w:overflowPunct w:val="0"/>
        <w:autoSpaceDE/>
        <w:autoSpaceDN w:val="0"/>
        <w:bidi w:val="0"/>
        <w:adjustRightInd w:val="0"/>
        <w:snapToGrid w:val="0"/>
        <w:spacing w:line="360" w:lineRule="auto"/>
        <w:ind w:firstLine="488"/>
        <w:rPr>
          <w:rFonts w:hint="eastAsia" w:hAnsi="宋体" w:cs="仿宋_GB2312"/>
          <w:color w:val="000000"/>
          <w:szCs w:val="24"/>
        </w:rPr>
      </w:pPr>
      <w:r>
        <w:rPr>
          <w:rFonts w:hint="eastAsia" w:hAnsi="宋体" w:cs="仿宋_GB2312"/>
          <w:color w:val="000000"/>
          <w:szCs w:val="24"/>
        </w:rPr>
        <w:t>除《中华人民共和国政府采购法》第49条、第50条第二款规定的情形外，本合同一经签订，甲乙双方不得擅自变更、中止或终止合同。</w:t>
      </w:r>
      <w:bookmarkStart w:id="10" w:name="_Toc23231"/>
      <w:bookmarkStart w:id="11" w:name="_Toc2019"/>
    </w:p>
    <w:p w14:paraId="3E0A6C41">
      <w:pPr>
        <w:pStyle w:val="5"/>
        <w:keepNext w:val="0"/>
        <w:keepLines w:val="0"/>
        <w:pageBreakBefore w:val="0"/>
        <w:widowControl w:val="0"/>
        <w:kinsoku/>
        <w:wordWrap/>
        <w:overflowPunct w:val="0"/>
        <w:autoSpaceDE/>
        <w:autoSpaceDN w:val="0"/>
        <w:bidi w:val="0"/>
        <w:adjustRightInd w:val="0"/>
        <w:snapToGrid w:val="0"/>
        <w:spacing w:line="360" w:lineRule="auto"/>
        <w:ind w:left="0" w:leftChars="0" w:firstLine="0" w:firstLineChars="0"/>
        <w:rPr>
          <w:rFonts w:ascii="宋体" w:hAnsi="宋体" w:cs="仿宋_GB2312"/>
          <w:b/>
          <w:color w:val="000000"/>
          <w:sz w:val="24"/>
          <w:szCs w:val="24"/>
          <w:shd w:val="clear" w:color="auto" w:fill="FFFFFF"/>
        </w:rPr>
      </w:pPr>
      <w:r>
        <w:rPr>
          <w:rFonts w:hint="eastAsia" w:ascii="宋体" w:hAnsi="宋体" w:cs="仿宋_GB2312"/>
          <w:b/>
          <w:color w:val="000000"/>
          <w:sz w:val="24"/>
          <w:szCs w:val="24"/>
          <w:shd w:val="clear" w:color="auto" w:fill="FFFFFF"/>
          <w:lang w:val="en-US" w:eastAsia="zh-CN"/>
        </w:rPr>
        <w:t xml:space="preserve">第十条 </w:t>
      </w:r>
      <w:r>
        <w:rPr>
          <w:rFonts w:hint="eastAsia" w:ascii="宋体" w:hAnsi="宋体" w:cs="仿宋_GB2312"/>
          <w:b/>
          <w:color w:val="000000"/>
          <w:sz w:val="24"/>
          <w:szCs w:val="24"/>
          <w:shd w:val="clear" w:color="auto" w:fill="FFFFFF"/>
        </w:rPr>
        <w:t>合同争议解决的方式</w:t>
      </w:r>
      <w:bookmarkEnd w:id="10"/>
      <w:bookmarkEnd w:id="11"/>
    </w:p>
    <w:p w14:paraId="32EA7505">
      <w:pPr>
        <w:keepNext w:val="0"/>
        <w:keepLines w:val="0"/>
        <w:pageBreakBefore w:val="0"/>
        <w:widowControl w:val="0"/>
        <w:kinsoku/>
        <w:wordWrap/>
        <w:autoSpaceDE/>
        <w:bidi w:val="0"/>
        <w:spacing w:line="360" w:lineRule="auto"/>
        <w:ind w:firstLine="240" w:firstLineChars="100"/>
        <w:rPr>
          <w:rFonts w:hint="eastAsia" w:ascii="宋体" w:hAnsi="宋体" w:cs="宋体"/>
          <w:sz w:val="24"/>
        </w:rPr>
      </w:pPr>
      <w:bookmarkStart w:id="12" w:name="_Toc16981"/>
      <w:bookmarkStart w:id="13" w:name="_Toc21719"/>
      <w:r>
        <w:rPr>
          <w:rFonts w:hint="eastAsia" w:ascii="宋体" w:hAnsi="宋体" w:cs="宋体"/>
          <w:sz w:val="24"/>
        </w:rPr>
        <w:t>1、在执行本合同中发生的或与本合同有关的争端，双方应通过友好协商解决，</w:t>
      </w:r>
    </w:p>
    <w:p w14:paraId="204AFCF5">
      <w:pPr>
        <w:keepNext w:val="0"/>
        <w:keepLines w:val="0"/>
        <w:pageBreakBefore w:val="0"/>
        <w:widowControl w:val="0"/>
        <w:kinsoku/>
        <w:wordWrap/>
        <w:autoSpaceDE/>
        <w:bidi w:val="0"/>
        <w:spacing w:line="360" w:lineRule="auto"/>
        <w:rPr>
          <w:rFonts w:ascii="宋体" w:hAnsi="宋体" w:cs="宋体"/>
          <w:kern w:val="0"/>
          <w:sz w:val="24"/>
        </w:rPr>
      </w:pPr>
      <w:r>
        <w:rPr>
          <w:rFonts w:hint="eastAsia" w:ascii="宋体" w:hAnsi="宋体" w:cs="宋体"/>
          <w:sz w:val="24"/>
        </w:rPr>
        <w:t>经协商在10天内不能达成协议时，则采取以下第</w:t>
      </w:r>
      <w:r>
        <w:rPr>
          <w:rFonts w:hint="eastAsia" w:ascii="宋体" w:hAnsi="宋体" w:cs="宋体"/>
          <w:sz w:val="24"/>
          <w:u w:val="single"/>
        </w:rPr>
        <w:t xml:space="preserve"> （</w:t>
      </w:r>
      <w:r>
        <w:rPr>
          <w:rFonts w:hint="eastAsia" w:ascii="宋体" w:hAnsi="宋体" w:cs="宋体"/>
          <w:sz w:val="24"/>
          <w:u w:val="single"/>
          <w:lang w:val="en-US" w:eastAsia="zh-CN"/>
        </w:rPr>
        <w:t>1</w:t>
      </w:r>
      <w:r>
        <w:rPr>
          <w:rFonts w:hint="eastAsia" w:ascii="宋体" w:hAnsi="宋体" w:cs="宋体"/>
          <w:sz w:val="24"/>
          <w:u w:val="single"/>
        </w:rPr>
        <w:t>）</w:t>
      </w:r>
      <w:r>
        <w:rPr>
          <w:rFonts w:hint="eastAsia" w:ascii="宋体" w:hAnsi="宋体" w:cs="宋体"/>
          <w:sz w:val="24"/>
        </w:rPr>
        <w:t>种方式解决争议：</w:t>
      </w:r>
    </w:p>
    <w:p w14:paraId="31175812">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rPr>
        <w:t>1）向甲方所在地有管辖权的人民法院提起诉讼；</w:t>
      </w:r>
    </w:p>
    <w:p w14:paraId="5B2890D4">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rPr>
        <w:t>2）提请西安仲裁委员会仲裁。</w:t>
      </w:r>
    </w:p>
    <w:p w14:paraId="7ECBDA0E">
      <w:pPr>
        <w:keepNext w:val="0"/>
        <w:keepLines w:val="0"/>
        <w:pageBreakBefore w:val="0"/>
        <w:widowControl w:val="0"/>
        <w:kinsoku/>
        <w:wordWrap/>
        <w:autoSpaceDE/>
        <w:bidi w:val="0"/>
        <w:spacing w:line="360" w:lineRule="auto"/>
        <w:ind w:firstLine="240" w:firstLineChars="100"/>
        <w:rPr>
          <w:rFonts w:ascii="宋体" w:hAnsi="宋体" w:cs="宋体"/>
          <w:sz w:val="24"/>
        </w:rPr>
      </w:pPr>
      <w:r>
        <w:rPr>
          <w:rFonts w:hint="eastAsia" w:ascii="宋体" w:hAnsi="宋体" w:cs="宋体"/>
          <w:sz w:val="24"/>
        </w:rPr>
        <w:t>2、在仲裁期间，本合同应继续履行。</w:t>
      </w:r>
    </w:p>
    <w:p w14:paraId="592D8B1F">
      <w:pPr>
        <w:keepNext w:val="0"/>
        <w:keepLines w:val="0"/>
        <w:pageBreakBefore w:val="0"/>
        <w:widowControl w:val="0"/>
        <w:kinsoku/>
        <w:wordWrap/>
        <w:overflowPunct w:val="0"/>
        <w:autoSpaceDE/>
        <w:autoSpaceDN w:val="0"/>
        <w:bidi w:val="0"/>
        <w:adjustRightInd w:val="0"/>
        <w:snapToGrid w:val="0"/>
        <w:spacing w:line="360" w:lineRule="auto"/>
        <w:rPr>
          <w:rFonts w:ascii="宋体" w:hAnsi="宋体" w:cs="仿宋_GB2312"/>
          <w:b/>
          <w:color w:val="000000"/>
          <w:sz w:val="24"/>
          <w:szCs w:val="24"/>
          <w:shd w:val="clear" w:color="auto" w:fill="FFFFFF"/>
        </w:rPr>
      </w:pPr>
      <w:r>
        <w:rPr>
          <w:rFonts w:hint="eastAsia" w:ascii="宋体" w:hAnsi="宋体" w:cs="仿宋_GB2312"/>
          <w:b/>
          <w:color w:val="000000"/>
          <w:sz w:val="24"/>
          <w:szCs w:val="24"/>
          <w:shd w:val="clear" w:color="auto" w:fill="FFFFFF"/>
          <w:lang w:val="en-US" w:eastAsia="zh-CN"/>
        </w:rPr>
        <w:t xml:space="preserve">第十一条 </w:t>
      </w:r>
      <w:r>
        <w:rPr>
          <w:rFonts w:hint="eastAsia" w:ascii="宋体" w:hAnsi="宋体" w:cs="仿宋_GB2312"/>
          <w:b/>
          <w:color w:val="000000"/>
          <w:sz w:val="24"/>
          <w:szCs w:val="24"/>
          <w:shd w:val="clear" w:color="auto" w:fill="FFFFFF"/>
        </w:rPr>
        <w:t>其他事项</w:t>
      </w:r>
      <w:bookmarkEnd w:id="12"/>
      <w:bookmarkEnd w:id="13"/>
    </w:p>
    <w:p w14:paraId="0376CF26">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rPr>
      </w:pPr>
      <w:r>
        <w:rPr>
          <w:rFonts w:hint="eastAsia" w:ascii="宋体" w:hAnsi="宋体" w:cs="仿宋_GB2312"/>
          <w:color w:val="000000"/>
          <w:sz w:val="24"/>
          <w:szCs w:val="24"/>
          <w:lang w:val="en-US" w:eastAsia="zh-CN"/>
        </w:rPr>
        <w:t xml:space="preserve">1、 </w:t>
      </w:r>
      <w:r>
        <w:rPr>
          <w:rFonts w:hint="eastAsia" w:ascii="宋体" w:hAnsi="宋体" w:cs="仿宋_GB2312"/>
          <w:color w:val="000000"/>
          <w:sz w:val="24"/>
          <w:szCs w:val="24"/>
        </w:rPr>
        <w:t>陕西省财政厅在合同的履行期间以及履行期后，可以随时检查项目的执行情况，对采购标准、采购内容进行调查核实，并对发现的问题进行处理。</w:t>
      </w:r>
    </w:p>
    <w:p w14:paraId="63D7B200">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rPr>
      </w:pPr>
      <w:r>
        <w:rPr>
          <w:rFonts w:hint="eastAsia" w:ascii="宋体" w:hAnsi="宋体" w:cs="仿宋_GB2312"/>
          <w:color w:val="000000"/>
          <w:sz w:val="24"/>
          <w:szCs w:val="24"/>
          <w:lang w:val="en-US" w:eastAsia="zh-CN"/>
        </w:rPr>
        <w:t>2、</w:t>
      </w:r>
      <w:r>
        <w:rPr>
          <w:rFonts w:hint="eastAsia" w:ascii="宋体" w:hAnsi="宋体" w:cs="仿宋_GB2312"/>
          <w:color w:val="000000"/>
          <w:sz w:val="24"/>
          <w:szCs w:val="24"/>
        </w:rPr>
        <w:t>本合同一式</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u w:val="single"/>
          <w:lang w:val="en-US" w:eastAsia="zh-CN"/>
        </w:rPr>
        <w:t>陆</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rPr>
        <w:t>份，甲方</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u w:val="single"/>
          <w:lang w:val="en-US" w:eastAsia="zh-CN"/>
        </w:rPr>
        <w:t>叁</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rPr>
        <w:t>份，乙方</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u w:val="single"/>
          <w:lang w:val="en-US" w:eastAsia="zh-CN"/>
        </w:rPr>
        <w:t>叁</w:t>
      </w:r>
      <w:r>
        <w:rPr>
          <w:rFonts w:hint="eastAsia" w:ascii="宋体" w:hAnsi="宋体" w:cs="仿宋_GB2312"/>
          <w:color w:val="000000"/>
          <w:sz w:val="24"/>
          <w:szCs w:val="24"/>
          <w:u w:val="single"/>
        </w:rPr>
        <w:t xml:space="preserve"> </w:t>
      </w:r>
      <w:r>
        <w:rPr>
          <w:rFonts w:hint="eastAsia" w:ascii="宋体" w:hAnsi="宋体" w:cs="仿宋_GB2312"/>
          <w:color w:val="000000"/>
          <w:sz w:val="24"/>
          <w:szCs w:val="24"/>
        </w:rPr>
        <w:t>份。</w:t>
      </w:r>
      <w:bookmarkStart w:id="14" w:name="_GoBack"/>
      <w:bookmarkEnd w:id="14"/>
    </w:p>
    <w:p w14:paraId="4F303CA6">
      <w:pPr>
        <w:keepNext w:val="0"/>
        <w:keepLines w:val="0"/>
        <w:pageBreakBefore w:val="0"/>
        <w:widowControl w:val="0"/>
        <w:kinsoku/>
        <w:wordWrap/>
        <w:overflowPunct w:val="0"/>
        <w:autoSpaceDE/>
        <w:autoSpaceDN w:val="0"/>
        <w:bidi w:val="0"/>
        <w:adjustRightInd w:val="0"/>
        <w:snapToGrid w:val="0"/>
        <w:spacing w:line="360" w:lineRule="auto"/>
        <w:ind w:firstLine="240" w:firstLineChars="100"/>
        <w:rPr>
          <w:rFonts w:ascii="宋体" w:hAnsi="宋体" w:cs="仿宋_GB2312"/>
          <w:color w:val="000000"/>
          <w:sz w:val="24"/>
          <w:szCs w:val="24"/>
        </w:rPr>
      </w:pPr>
      <w:r>
        <w:rPr>
          <w:rFonts w:hint="eastAsia" w:ascii="宋体" w:hAnsi="宋体" w:cs="仿宋_GB2312"/>
          <w:color w:val="000000"/>
          <w:sz w:val="24"/>
          <w:szCs w:val="24"/>
          <w:lang w:val="en-US" w:eastAsia="zh-CN"/>
        </w:rPr>
        <w:t>3、</w:t>
      </w:r>
      <w:r>
        <w:rPr>
          <w:rFonts w:hint="eastAsia" w:ascii="宋体" w:hAnsi="宋体" w:cs="仿宋_GB2312"/>
          <w:color w:val="000000"/>
          <w:sz w:val="24"/>
          <w:szCs w:val="24"/>
        </w:rPr>
        <w:t>本合同未尽事项，补充合同内容。</w:t>
      </w:r>
    </w:p>
    <w:p w14:paraId="2A6BC9C0">
      <w:pPr>
        <w:keepNext w:val="0"/>
        <w:keepLines w:val="0"/>
        <w:pageBreakBefore w:val="0"/>
        <w:widowControl w:val="0"/>
        <w:kinsoku/>
        <w:wordWrap/>
        <w:overflowPunct w:val="0"/>
        <w:autoSpaceDE/>
        <w:bidi w:val="0"/>
        <w:adjustRightInd w:val="0"/>
        <w:snapToGrid w:val="0"/>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（以下无正文）</w:t>
      </w:r>
    </w:p>
    <w:p w14:paraId="4656E042">
      <w:pPr>
        <w:keepNext w:val="0"/>
        <w:keepLines w:val="0"/>
        <w:pageBreakBefore w:val="0"/>
        <w:widowControl w:val="0"/>
        <w:kinsoku/>
        <w:wordWrap/>
        <w:autoSpaceDE/>
        <w:bidi w:val="0"/>
        <w:spacing w:line="360" w:lineRule="auto"/>
        <w:rPr>
          <w:rFonts w:hint="eastAsia" w:ascii="宋体" w:hAnsi="宋体"/>
          <w:color w:val="000000"/>
          <w:sz w:val="24"/>
          <w:szCs w:val="24"/>
        </w:rPr>
      </w:pPr>
      <w:r>
        <w:rPr>
          <w:rFonts w:hint="eastAsia" w:ascii="宋体" w:hAnsi="宋体"/>
          <w:color w:val="000000"/>
          <w:sz w:val="24"/>
          <w:szCs w:val="24"/>
        </w:rPr>
        <w:br w:type="page"/>
      </w:r>
    </w:p>
    <w:p w14:paraId="3F5AC882">
      <w:pPr>
        <w:overflowPunct w:val="0"/>
        <w:adjustRightInd w:val="0"/>
        <w:snapToGrid w:val="0"/>
        <w:spacing w:line="460" w:lineRule="exact"/>
        <w:ind w:firstLine="480" w:firstLineChars="200"/>
        <w:rPr>
          <w:rFonts w:hint="eastAsia" w:ascii="宋体" w:hAnsi="宋体"/>
          <w:color w:val="000000"/>
          <w:sz w:val="24"/>
          <w:szCs w:val="24"/>
        </w:rPr>
      </w:pPr>
    </w:p>
    <w:tbl>
      <w:tblPr>
        <w:tblStyle w:val="3"/>
        <w:tblpPr w:leftFromText="180" w:rightFromText="180" w:vertAnchor="text" w:horzAnchor="page" w:tblpX="1238" w:tblpY="359"/>
        <w:tblOverlap w:val="never"/>
        <w:tblW w:w="9859" w:type="dxa"/>
        <w:tblInd w:w="0" w:type="dxa"/>
        <w:tblLayout w:type="fixed"/>
        <w:tblCellMar>
          <w:top w:w="0" w:type="dxa"/>
          <w:left w:w="108" w:type="dxa"/>
          <w:bottom w:w="0" w:type="dxa"/>
          <w:right w:w="108" w:type="dxa"/>
        </w:tblCellMar>
      </w:tblPr>
      <w:tblGrid>
        <w:gridCol w:w="4928"/>
        <w:gridCol w:w="4931"/>
      </w:tblGrid>
      <w:tr w14:paraId="6D3D4557">
        <w:tblPrEx>
          <w:tblCellMar>
            <w:top w:w="0" w:type="dxa"/>
            <w:left w:w="108" w:type="dxa"/>
            <w:bottom w:w="0" w:type="dxa"/>
            <w:right w:w="108" w:type="dxa"/>
          </w:tblCellMar>
        </w:tblPrEx>
        <w:trPr>
          <w:trHeight w:val="644" w:hRule="atLeast"/>
        </w:trPr>
        <w:tc>
          <w:tcPr>
            <w:tcW w:w="4928" w:type="dxa"/>
            <w:noWrap w:val="0"/>
            <w:vAlign w:val="center"/>
          </w:tcPr>
          <w:p w14:paraId="3451D634">
            <w:pPr>
              <w:overflowPunct w:val="0"/>
              <w:adjustRightInd w:val="0"/>
              <w:snapToGrid w:val="0"/>
              <w:rPr>
                <w:rFonts w:ascii="宋体" w:hAnsi="宋体"/>
                <w:color w:val="000000"/>
                <w:sz w:val="24"/>
                <w:szCs w:val="24"/>
              </w:rPr>
            </w:pPr>
            <w:r>
              <w:rPr>
                <w:rFonts w:hint="eastAsia" w:ascii="宋体" w:hAnsi="宋体"/>
                <w:color w:val="000000"/>
                <w:sz w:val="24"/>
                <w:szCs w:val="24"/>
              </w:rPr>
              <w:t>甲方:                         （盖章）</w:t>
            </w:r>
          </w:p>
        </w:tc>
        <w:tc>
          <w:tcPr>
            <w:tcW w:w="4931" w:type="dxa"/>
            <w:noWrap w:val="0"/>
            <w:vAlign w:val="center"/>
          </w:tcPr>
          <w:p w14:paraId="2C06299D">
            <w:pPr>
              <w:overflowPunct w:val="0"/>
              <w:adjustRightInd w:val="0"/>
              <w:snapToGrid w:val="0"/>
              <w:jc w:val="left"/>
              <w:rPr>
                <w:rFonts w:ascii="宋体" w:hAnsi="宋体"/>
                <w:color w:val="000000"/>
                <w:sz w:val="24"/>
                <w:szCs w:val="24"/>
              </w:rPr>
            </w:pPr>
            <w:r>
              <w:rPr>
                <w:rFonts w:hint="eastAsia" w:ascii="宋体" w:hAnsi="宋体"/>
                <w:color w:val="000000"/>
                <w:sz w:val="24"/>
                <w:szCs w:val="24"/>
              </w:rPr>
              <w:t>乙方: （盖章）</w:t>
            </w:r>
            <w:r>
              <w:rPr>
                <w:rFonts w:hint="eastAsia" w:ascii="宋体" w:hAnsi="宋体"/>
                <w:color w:val="000000"/>
                <w:sz w:val="24"/>
                <w:szCs w:val="24"/>
                <w:lang w:eastAsia="zh-CN"/>
              </w:rPr>
              <w:t xml:space="preserve"> </w:t>
            </w:r>
            <w:r>
              <w:rPr>
                <w:rFonts w:hint="eastAsia" w:ascii="宋体" w:hAnsi="宋体"/>
                <w:color w:val="000000"/>
                <w:sz w:val="24"/>
                <w:szCs w:val="24"/>
              </w:rPr>
              <w:t xml:space="preserve">                   </w:t>
            </w:r>
          </w:p>
        </w:tc>
      </w:tr>
      <w:tr w14:paraId="24FB0792">
        <w:tblPrEx>
          <w:tblCellMar>
            <w:top w:w="0" w:type="dxa"/>
            <w:left w:w="108" w:type="dxa"/>
            <w:bottom w:w="0" w:type="dxa"/>
            <w:right w:w="108" w:type="dxa"/>
          </w:tblCellMar>
        </w:tblPrEx>
        <w:trPr>
          <w:trHeight w:val="644" w:hRule="atLeast"/>
        </w:trPr>
        <w:tc>
          <w:tcPr>
            <w:tcW w:w="4928" w:type="dxa"/>
            <w:noWrap w:val="0"/>
            <w:vAlign w:val="center"/>
          </w:tcPr>
          <w:p w14:paraId="75D172E0">
            <w:pPr>
              <w:overflowPunct w:val="0"/>
              <w:adjustRightInd w:val="0"/>
              <w:snapToGrid w:val="0"/>
              <w:rPr>
                <w:rFonts w:ascii="宋体" w:hAnsi="宋体"/>
                <w:color w:val="000000"/>
                <w:sz w:val="24"/>
                <w:szCs w:val="24"/>
              </w:rPr>
            </w:pPr>
            <w:r>
              <w:rPr>
                <w:rFonts w:hint="eastAsia" w:ascii="宋体" w:hAnsi="宋体"/>
                <w:color w:val="000000"/>
                <w:sz w:val="24"/>
                <w:szCs w:val="24"/>
              </w:rPr>
              <w:t xml:space="preserve">地址： </w:t>
            </w:r>
          </w:p>
        </w:tc>
        <w:tc>
          <w:tcPr>
            <w:tcW w:w="4931" w:type="dxa"/>
            <w:noWrap w:val="0"/>
            <w:vAlign w:val="center"/>
          </w:tcPr>
          <w:p w14:paraId="1864C4F9">
            <w:pPr>
              <w:overflowPunct w:val="0"/>
              <w:adjustRightInd w:val="0"/>
              <w:snapToGrid w:val="0"/>
              <w:rPr>
                <w:rFonts w:hint="default" w:ascii="宋体" w:hAnsi="宋体" w:eastAsia="宋体"/>
                <w:color w:val="000000"/>
                <w:sz w:val="24"/>
                <w:szCs w:val="24"/>
                <w:lang w:val="en-US" w:eastAsia="zh-CN"/>
              </w:rPr>
            </w:pPr>
            <w:r>
              <w:rPr>
                <w:rFonts w:hint="eastAsia" w:ascii="宋体" w:hAnsi="宋体"/>
                <w:color w:val="000000"/>
                <w:sz w:val="24"/>
                <w:szCs w:val="24"/>
              </w:rPr>
              <w:t>地址：</w:t>
            </w:r>
          </w:p>
        </w:tc>
      </w:tr>
      <w:tr w14:paraId="4B32F280">
        <w:tblPrEx>
          <w:tblCellMar>
            <w:top w:w="0" w:type="dxa"/>
            <w:left w:w="108" w:type="dxa"/>
            <w:bottom w:w="0" w:type="dxa"/>
            <w:right w:w="108" w:type="dxa"/>
          </w:tblCellMar>
        </w:tblPrEx>
        <w:trPr>
          <w:trHeight w:val="644" w:hRule="atLeast"/>
        </w:trPr>
        <w:tc>
          <w:tcPr>
            <w:tcW w:w="4928" w:type="dxa"/>
            <w:noWrap w:val="0"/>
            <w:vAlign w:val="center"/>
          </w:tcPr>
          <w:p w14:paraId="132741CF">
            <w:pPr>
              <w:overflowPunct w:val="0"/>
              <w:adjustRightInd w:val="0"/>
              <w:snapToGrid w:val="0"/>
              <w:rPr>
                <w:rFonts w:ascii="宋体" w:hAnsi="宋体"/>
                <w:color w:val="000000"/>
                <w:sz w:val="24"/>
                <w:szCs w:val="24"/>
              </w:rPr>
            </w:pPr>
            <w:r>
              <w:rPr>
                <w:rFonts w:hint="eastAsia" w:ascii="宋体" w:hAnsi="宋体"/>
                <w:color w:val="000000"/>
                <w:sz w:val="24"/>
                <w:szCs w:val="24"/>
              </w:rPr>
              <w:t>邮编：</w:t>
            </w:r>
          </w:p>
        </w:tc>
        <w:tc>
          <w:tcPr>
            <w:tcW w:w="4931" w:type="dxa"/>
            <w:noWrap w:val="0"/>
            <w:vAlign w:val="center"/>
          </w:tcPr>
          <w:p w14:paraId="6CE48A33">
            <w:pPr>
              <w:overflowPunct w:val="0"/>
              <w:adjustRightInd w:val="0"/>
              <w:snapToGrid w:val="0"/>
              <w:rPr>
                <w:rFonts w:hint="default" w:ascii="宋体" w:hAnsi="宋体" w:eastAsia="宋体"/>
                <w:color w:val="000000"/>
                <w:sz w:val="24"/>
                <w:szCs w:val="24"/>
                <w:lang w:val="en-US" w:eastAsia="zh-CN"/>
              </w:rPr>
            </w:pPr>
            <w:r>
              <w:rPr>
                <w:rFonts w:hint="eastAsia" w:ascii="宋体" w:hAnsi="宋体"/>
                <w:color w:val="000000"/>
                <w:sz w:val="24"/>
                <w:szCs w:val="24"/>
              </w:rPr>
              <w:t>邮编：</w:t>
            </w:r>
          </w:p>
        </w:tc>
      </w:tr>
      <w:tr w14:paraId="5C20CECC">
        <w:tblPrEx>
          <w:tblCellMar>
            <w:top w:w="0" w:type="dxa"/>
            <w:left w:w="108" w:type="dxa"/>
            <w:bottom w:w="0" w:type="dxa"/>
            <w:right w:w="108" w:type="dxa"/>
          </w:tblCellMar>
        </w:tblPrEx>
        <w:trPr>
          <w:trHeight w:val="1279" w:hRule="atLeast"/>
        </w:trPr>
        <w:tc>
          <w:tcPr>
            <w:tcW w:w="4928" w:type="dxa"/>
            <w:noWrap w:val="0"/>
            <w:vAlign w:val="top"/>
          </w:tcPr>
          <w:p w14:paraId="7E142316">
            <w:pPr>
              <w:overflowPunct w:val="0"/>
              <w:adjustRightInd w:val="0"/>
              <w:snapToGrid w:val="0"/>
              <w:rPr>
                <w:rFonts w:ascii="宋体" w:hAnsi="宋体"/>
                <w:color w:val="000000"/>
                <w:sz w:val="24"/>
                <w:szCs w:val="24"/>
              </w:rPr>
            </w:pPr>
            <w:r>
              <w:rPr>
                <w:rFonts w:hint="eastAsia" w:ascii="宋体" w:hAnsi="宋体"/>
                <w:color w:val="000000"/>
                <w:sz w:val="24"/>
                <w:szCs w:val="24"/>
              </w:rPr>
              <w:t>法定代表人（签字或盖章）：</w:t>
            </w:r>
          </w:p>
        </w:tc>
        <w:tc>
          <w:tcPr>
            <w:tcW w:w="4931" w:type="dxa"/>
            <w:noWrap w:val="0"/>
            <w:vAlign w:val="top"/>
          </w:tcPr>
          <w:p w14:paraId="4E11E50C">
            <w:pPr>
              <w:overflowPunct w:val="0"/>
              <w:adjustRightInd w:val="0"/>
              <w:snapToGrid w:val="0"/>
              <w:rPr>
                <w:rFonts w:ascii="宋体" w:hAnsi="宋体"/>
                <w:color w:val="000000"/>
                <w:sz w:val="24"/>
                <w:szCs w:val="24"/>
              </w:rPr>
            </w:pPr>
            <w:r>
              <w:rPr>
                <w:rFonts w:hint="eastAsia" w:ascii="宋体" w:hAnsi="宋体"/>
                <w:color w:val="000000"/>
                <w:sz w:val="24"/>
                <w:szCs w:val="24"/>
              </w:rPr>
              <w:t>法定代表人（签字或盖章）：</w:t>
            </w:r>
          </w:p>
        </w:tc>
      </w:tr>
      <w:tr w14:paraId="05704CBE">
        <w:tblPrEx>
          <w:tblCellMar>
            <w:top w:w="0" w:type="dxa"/>
            <w:left w:w="108" w:type="dxa"/>
            <w:bottom w:w="0" w:type="dxa"/>
            <w:right w:w="108" w:type="dxa"/>
          </w:tblCellMar>
        </w:tblPrEx>
        <w:trPr>
          <w:trHeight w:val="934" w:hRule="atLeast"/>
        </w:trPr>
        <w:tc>
          <w:tcPr>
            <w:tcW w:w="4928" w:type="dxa"/>
            <w:noWrap w:val="0"/>
            <w:vAlign w:val="top"/>
          </w:tcPr>
          <w:p w14:paraId="2D1D391F">
            <w:pPr>
              <w:overflowPunct w:val="0"/>
              <w:adjustRightInd w:val="0"/>
              <w:snapToGrid w:val="0"/>
              <w:rPr>
                <w:rFonts w:ascii="宋体" w:hAnsi="宋体"/>
                <w:color w:val="000000"/>
                <w:sz w:val="24"/>
                <w:szCs w:val="24"/>
              </w:rPr>
            </w:pPr>
            <w:r>
              <w:rPr>
                <w:rFonts w:hint="eastAsia" w:ascii="宋体" w:hAnsi="宋体"/>
                <w:color w:val="000000"/>
                <w:sz w:val="24"/>
                <w:szCs w:val="24"/>
              </w:rPr>
              <w:t>被授权代表：（签字）</w:t>
            </w:r>
          </w:p>
        </w:tc>
        <w:tc>
          <w:tcPr>
            <w:tcW w:w="4931" w:type="dxa"/>
            <w:noWrap w:val="0"/>
            <w:vAlign w:val="top"/>
          </w:tcPr>
          <w:p w14:paraId="75E62A21">
            <w:pPr>
              <w:overflowPunct w:val="0"/>
              <w:adjustRightInd w:val="0"/>
              <w:snapToGrid w:val="0"/>
              <w:rPr>
                <w:rFonts w:ascii="宋体" w:hAnsi="宋体"/>
                <w:color w:val="000000"/>
                <w:sz w:val="24"/>
                <w:szCs w:val="24"/>
              </w:rPr>
            </w:pPr>
            <w:r>
              <w:rPr>
                <w:rFonts w:hint="eastAsia" w:ascii="宋体" w:hAnsi="宋体"/>
                <w:color w:val="000000"/>
                <w:sz w:val="24"/>
                <w:szCs w:val="24"/>
              </w:rPr>
              <w:t>被授权代表：（签字）</w:t>
            </w:r>
          </w:p>
        </w:tc>
      </w:tr>
      <w:tr w14:paraId="69009D06">
        <w:tblPrEx>
          <w:tblCellMar>
            <w:top w:w="0" w:type="dxa"/>
            <w:left w:w="108" w:type="dxa"/>
            <w:bottom w:w="0" w:type="dxa"/>
            <w:right w:w="108" w:type="dxa"/>
          </w:tblCellMar>
        </w:tblPrEx>
        <w:trPr>
          <w:trHeight w:val="644" w:hRule="atLeast"/>
        </w:trPr>
        <w:tc>
          <w:tcPr>
            <w:tcW w:w="4928" w:type="dxa"/>
            <w:noWrap w:val="0"/>
            <w:vAlign w:val="center"/>
          </w:tcPr>
          <w:p w14:paraId="41EFD6DD">
            <w:pPr>
              <w:overflowPunct w:val="0"/>
              <w:adjustRightInd w:val="0"/>
              <w:snapToGrid w:val="0"/>
              <w:rPr>
                <w:rFonts w:ascii="宋体" w:hAnsi="宋体"/>
                <w:color w:val="000000"/>
                <w:sz w:val="24"/>
                <w:szCs w:val="24"/>
              </w:rPr>
            </w:pPr>
            <w:r>
              <w:rPr>
                <w:rFonts w:hint="eastAsia" w:ascii="宋体" w:hAnsi="宋体"/>
                <w:color w:val="000000"/>
                <w:sz w:val="24"/>
                <w:szCs w:val="24"/>
              </w:rPr>
              <w:t>电话：</w:t>
            </w:r>
          </w:p>
        </w:tc>
        <w:tc>
          <w:tcPr>
            <w:tcW w:w="4931" w:type="dxa"/>
            <w:noWrap w:val="0"/>
            <w:vAlign w:val="center"/>
          </w:tcPr>
          <w:p w14:paraId="5C71EF77">
            <w:pPr>
              <w:overflowPunct w:val="0"/>
              <w:adjustRightInd w:val="0"/>
              <w:snapToGrid w:val="0"/>
              <w:rPr>
                <w:rFonts w:ascii="宋体" w:hAnsi="宋体"/>
                <w:color w:val="000000"/>
                <w:sz w:val="24"/>
                <w:szCs w:val="24"/>
              </w:rPr>
            </w:pPr>
            <w:r>
              <w:rPr>
                <w:rFonts w:hint="eastAsia" w:ascii="宋体" w:hAnsi="宋体"/>
                <w:color w:val="000000"/>
                <w:sz w:val="24"/>
                <w:szCs w:val="24"/>
              </w:rPr>
              <w:t>电话：</w:t>
            </w:r>
          </w:p>
        </w:tc>
      </w:tr>
      <w:tr w14:paraId="68DA677C">
        <w:tblPrEx>
          <w:tblCellMar>
            <w:top w:w="0" w:type="dxa"/>
            <w:left w:w="108" w:type="dxa"/>
            <w:bottom w:w="0" w:type="dxa"/>
            <w:right w:w="108" w:type="dxa"/>
          </w:tblCellMar>
        </w:tblPrEx>
        <w:trPr>
          <w:trHeight w:val="644" w:hRule="atLeast"/>
        </w:trPr>
        <w:tc>
          <w:tcPr>
            <w:tcW w:w="4928" w:type="dxa"/>
            <w:noWrap w:val="0"/>
            <w:vAlign w:val="center"/>
          </w:tcPr>
          <w:p w14:paraId="4DE18B72">
            <w:pPr>
              <w:overflowPunct w:val="0"/>
              <w:adjustRightInd w:val="0"/>
              <w:snapToGrid w:val="0"/>
              <w:rPr>
                <w:rFonts w:ascii="宋体" w:hAnsi="宋体"/>
                <w:color w:val="000000"/>
                <w:sz w:val="24"/>
                <w:szCs w:val="24"/>
              </w:rPr>
            </w:pPr>
            <w:r>
              <w:rPr>
                <w:rFonts w:hint="eastAsia" w:ascii="宋体" w:hAnsi="宋体"/>
                <w:color w:val="000000"/>
                <w:sz w:val="24"/>
                <w:szCs w:val="24"/>
              </w:rPr>
              <w:t>传真：</w:t>
            </w:r>
          </w:p>
        </w:tc>
        <w:tc>
          <w:tcPr>
            <w:tcW w:w="4931" w:type="dxa"/>
            <w:noWrap w:val="0"/>
            <w:vAlign w:val="center"/>
          </w:tcPr>
          <w:p w14:paraId="6BEE11DE">
            <w:pPr>
              <w:overflowPunct w:val="0"/>
              <w:adjustRightInd w:val="0"/>
              <w:snapToGrid w:val="0"/>
              <w:rPr>
                <w:rFonts w:hint="eastAsia" w:ascii="宋体" w:hAnsi="宋体" w:eastAsia="宋体"/>
                <w:color w:val="000000"/>
                <w:sz w:val="24"/>
                <w:szCs w:val="24"/>
                <w:lang w:val="en-US" w:eastAsia="zh-CN"/>
              </w:rPr>
            </w:pPr>
            <w:r>
              <w:rPr>
                <w:rFonts w:hint="eastAsia" w:ascii="宋体" w:hAnsi="宋体"/>
                <w:color w:val="000000"/>
                <w:sz w:val="24"/>
                <w:szCs w:val="24"/>
              </w:rPr>
              <w:t>传真：</w:t>
            </w:r>
            <w:r>
              <w:rPr>
                <w:rFonts w:hint="eastAsia" w:ascii="宋体" w:hAnsi="宋体"/>
                <w:color w:val="000000"/>
                <w:sz w:val="24"/>
                <w:szCs w:val="24"/>
                <w:lang w:val="en-US" w:eastAsia="zh-CN"/>
              </w:rPr>
              <w:t>/</w:t>
            </w:r>
          </w:p>
        </w:tc>
      </w:tr>
      <w:tr w14:paraId="1CA38449">
        <w:tblPrEx>
          <w:tblCellMar>
            <w:top w:w="0" w:type="dxa"/>
            <w:left w:w="108" w:type="dxa"/>
            <w:bottom w:w="0" w:type="dxa"/>
            <w:right w:w="108" w:type="dxa"/>
          </w:tblCellMar>
        </w:tblPrEx>
        <w:trPr>
          <w:trHeight w:val="644" w:hRule="atLeast"/>
        </w:trPr>
        <w:tc>
          <w:tcPr>
            <w:tcW w:w="4928" w:type="dxa"/>
            <w:noWrap w:val="0"/>
            <w:vAlign w:val="center"/>
          </w:tcPr>
          <w:p w14:paraId="4BA3DEE8">
            <w:pPr>
              <w:overflowPunct w:val="0"/>
              <w:adjustRightInd w:val="0"/>
              <w:snapToGrid w:val="0"/>
              <w:rPr>
                <w:rFonts w:ascii="宋体" w:hAnsi="宋体"/>
                <w:color w:val="000000"/>
                <w:sz w:val="24"/>
                <w:szCs w:val="24"/>
              </w:rPr>
            </w:pPr>
            <w:r>
              <w:rPr>
                <w:rFonts w:hint="eastAsia" w:ascii="宋体" w:hAnsi="宋体"/>
                <w:color w:val="000000"/>
                <w:sz w:val="24"/>
                <w:szCs w:val="24"/>
              </w:rPr>
              <w:t>开户银行：</w:t>
            </w:r>
          </w:p>
        </w:tc>
        <w:tc>
          <w:tcPr>
            <w:tcW w:w="4931" w:type="dxa"/>
            <w:noWrap w:val="0"/>
            <w:vAlign w:val="center"/>
          </w:tcPr>
          <w:p w14:paraId="270A11C6">
            <w:pPr>
              <w:overflowPunct w:val="0"/>
              <w:adjustRightInd w:val="0"/>
              <w:snapToGrid w:val="0"/>
              <w:rPr>
                <w:rFonts w:ascii="宋体" w:hAnsi="宋体"/>
                <w:color w:val="000000"/>
                <w:sz w:val="24"/>
                <w:szCs w:val="24"/>
              </w:rPr>
            </w:pPr>
            <w:r>
              <w:rPr>
                <w:rFonts w:hint="eastAsia" w:ascii="宋体" w:hAnsi="宋体"/>
                <w:color w:val="000000"/>
                <w:sz w:val="24"/>
                <w:szCs w:val="24"/>
              </w:rPr>
              <w:t>开户银行：</w:t>
            </w:r>
          </w:p>
        </w:tc>
      </w:tr>
      <w:tr w14:paraId="03DA40B0">
        <w:tblPrEx>
          <w:tblCellMar>
            <w:top w:w="0" w:type="dxa"/>
            <w:left w:w="108" w:type="dxa"/>
            <w:bottom w:w="0" w:type="dxa"/>
            <w:right w:w="108" w:type="dxa"/>
          </w:tblCellMar>
        </w:tblPrEx>
        <w:trPr>
          <w:trHeight w:val="644" w:hRule="atLeast"/>
        </w:trPr>
        <w:tc>
          <w:tcPr>
            <w:tcW w:w="4928" w:type="dxa"/>
            <w:noWrap w:val="0"/>
            <w:vAlign w:val="center"/>
          </w:tcPr>
          <w:p w14:paraId="1E68B893">
            <w:pPr>
              <w:overflowPunct w:val="0"/>
              <w:adjustRightInd w:val="0"/>
              <w:snapToGrid w:val="0"/>
              <w:rPr>
                <w:rFonts w:ascii="宋体" w:hAnsi="宋体"/>
                <w:color w:val="000000"/>
                <w:sz w:val="24"/>
                <w:szCs w:val="24"/>
              </w:rPr>
            </w:pPr>
            <w:r>
              <w:rPr>
                <w:rFonts w:hint="eastAsia" w:ascii="宋体" w:hAnsi="宋体"/>
                <w:color w:val="000000"/>
                <w:sz w:val="24"/>
                <w:szCs w:val="24"/>
              </w:rPr>
              <w:t>账号:</w:t>
            </w:r>
          </w:p>
        </w:tc>
        <w:tc>
          <w:tcPr>
            <w:tcW w:w="4931" w:type="dxa"/>
            <w:noWrap w:val="0"/>
            <w:vAlign w:val="center"/>
          </w:tcPr>
          <w:p w14:paraId="4C596BA1">
            <w:pPr>
              <w:overflowPunct w:val="0"/>
              <w:adjustRightInd w:val="0"/>
              <w:snapToGrid w:val="0"/>
              <w:rPr>
                <w:rFonts w:ascii="宋体" w:hAnsi="宋体"/>
                <w:color w:val="000000"/>
                <w:sz w:val="24"/>
                <w:szCs w:val="24"/>
              </w:rPr>
            </w:pPr>
            <w:r>
              <w:rPr>
                <w:rFonts w:hint="eastAsia" w:ascii="宋体" w:hAnsi="宋体"/>
                <w:color w:val="000000"/>
                <w:sz w:val="24"/>
                <w:szCs w:val="24"/>
              </w:rPr>
              <w:t>账号:</w:t>
            </w:r>
          </w:p>
        </w:tc>
      </w:tr>
      <w:tr w14:paraId="4525015A">
        <w:tblPrEx>
          <w:tblCellMar>
            <w:top w:w="0" w:type="dxa"/>
            <w:left w:w="108" w:type="dxa"/>
            <w:bottom w:w="0" w:type="dxa"/>
            <w:right w:w="108" w:type="dxa"/>
          </w:tblCellMar>
        </w:tblPrEx>
        <w:trPr>
          <w:trHeight w:val="716" w:hRule="atLeast"/>
        </w:trPr>
        <w:tc>
          <w:tcPr>
            <w:tcW w:w="4928" w:type="dxa"/>
            <w:noWrap w:val="0"/>
            <w:vAlign w:val="center"/>
          </w:tcPr>
          <w:p w14:paraId="03269D12">
            <w:pPr>
              <w:overflowPunct w:val="0"/>
              <w:adjustRightInd w:val="0"/>
              <w:snapToGrid w:val="0"/>
              <w:rPr>
                <w:rFonts w:ascii="宋体" w:hAnsi="宋体"/>
                <w:color w:val="000000"/>
                <w:sz w:val="24"/>
                <w:szCs w:val="24"/>
              </w:rPr>
            </w:pPr>
            <w:r>
              <w:rPr>
                <w:rFonts w:hint="eastAsia" w:ascii="宋体" w:hAnsi="宋体"/>
                <w:color w:val="000000"/>
                <w:sz w:val="24"/>
                <w:szCs w:val="24"/>
              </w:rPr>
              <w:t>日期：       年   月   日</w:t>
            </w:r>
          </w:p>
        </w:tc>
        <w:tc>
          <w:tcPr>
            <w:tcW w:w="4931" w:type="dxa"/>
            <w:noWrap w:val="0"/>
            <w:vAlign w:val="center"/>
          </w:tcPr>
          <w:p w14:paraId="33014BF2">
            <w:pPr>
              <w:overflowPunct w:val="0"/>
              <w:adjustRightInd w:val="0"/>
              <w:snapToGrid w:val="0"/>
              <w:rPr>
                <w:rFonts w:ascii="宋体" w:hAnsi="宋体"/>
                <w:color w:val="000000"/>
                <w:sz w:val="24"/>
                <w:szCs w:val="24"/>
              </w:rPr>
            </w:pPr>
            <w:r>
              <w:rPr>
                <w:rFonts w:hint="eastAsia" w:ascii="宋体" w:hAnsi="宋体"/>
                <w:color w:val="000000"/>
                <w:sz w:val="24"/>
                <w:szCs w:val="24"/>
              </w:rPr>
              <w:t>日期：      年   月   日</w:t>
            </w:r>
          </w:p>
        </w:tc>
      </w:tr>
    </w:tbl>
    <w:p w14:paraId="6327A2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78A71"/>
    <w:multiLevelType w:val="singleLevel"/>
    <w:tmpl w:val="5EF78A7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2B93"/>
    <w:rsid w:val="0059010D"/>
    <w:rsid w:val="0710121A"/>
    <w:rsid w:val="0CF32576"/>
    <w:rsid w:val="0F5031E6"/>
    <w:rsid w:val="121D76E9"/>
    <w:rsid w:val="14716AF4"/>
    <w:rsid w:val="150C0F0D"/>
    <w:rsid w:val="15785D0F"/>
    <w:rsid w:val="166147B7"/>
    <w:rsid w:val="1913198C"/>
    <w:rsid w:val="19FA79CE"/>
    <w:rsid w:val="1DC51D0D"/>
    <w:rsid w:val="1F7E386C"/>
    <w:rsid w:val="20B83EE0"/>
    <w:rsid w:val="23E208A1"/>
    <w:rsid w:val="24DB0068"/>
    <w:rsid w:val="2E841D5D"/>
    <w:rsid w:val="2FBA1177"/>
    <w:rsid w:val="340266AE"/>
    <w:rsid w:val="34627E5E"/>
    <w:rsid w:val="374C526C"/>
    <w:rsid w:val="37D20540"/>
    <w:rsid w:val="38422BA3"/>
    <w:rsid w:val="3C3253EF"/>
    <w:rsid w:val="3C9708C1"/>
    <w:rsid w:val="3CEE5A2A"/>
    <w:rsid w:val="3FFA0F4B"/>
    <w:rsid w:val="43417CDE"/>
    <w:rsid w:val="45C85647"/>
    <w:rsid w:val="49296D45"/>
    <w:rsid w:val="4C337A48"/>
    <w:rsid w:val="543F4ED6"/>
    <w:rsid w:val="54AA6719"/>
    <w:rsid w:val="552F4741"/>
    <w:rsid w:val="564805CD"/>
    <w:rsid w:val="596D54D7"/>
    <w:rsid w:val="5CF22AD9"/>
    <w:rsid w:val="5DBC388C"/>
    <w:rsid w:val="5DFF7D59"/>
    <w:rsid w:val="5E9B4F41"/>
    <w:rsid w:val="643133ED"/>
    <w:rsid w:val="64E2007C"/>
    <w:rsid w:val="66EA4D7F"/>
    <w:rsid w:val="672E2367"/>
    <w:rsid w:val="705C33D8"/>
    <w:rsid w:val="70942B28"/>
    <w:rsid w:val="7148395C"/>
    <w:rsid w:val="725D6F93"/>
    <w:rsid w:val="72662D66"/>
    <w:rsid w:val="731E0DE9"/>
    <w:rsid w:val="74A34A0E"/>
    <w:rsid w:val="75B8438F"/>
    <w:rsid w:val="77242776"/>
    <w:rsid w:val="79A33593"/>
    <w:rsid w:val="7CA73C2D"/>
    <w:rsid w:val="7F966948"/>
    <w:rsid w:val="7FD12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bCs/>
      <w:kern w:val="2"/>
      <w:sz w:val="32"/>
      <w:szCs w:val="32"/>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5">
    <w:name w:val="样式 首行缩进:  2 字符"/>
    <w:basedOn w:val="1"/>
    <w:qFormat/>
    <w:uiPriority w:val="0"/>
    <w:pPr>
      <w:widowControl/>
      <w:spacing w:line="400" w:lineRule="exact"/>
      <w:ind w:firstLine="200" w:firstLineChars="200"/>
    </w:pPr>
    <w:rPr>
      <w:rFonts w:ascii="宋体" w:cs="宋体"/>
      <w:sz w:val="24"/>
    </w:rPr>
  </w:style>
  <w:style w:type="paragraph" w:styleId="6">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1828</Words>
  <Characters>1847</Characters>
  <Lines>0</Lines>
  <Paragraphs>0</Paragraphs>
  <TotalTime>0</TotalTime>
  <ScaleCrop>false</ScaleCrop>
  <LinksUpToDate>false</LinksUpToDate>
  <CharactersWithSpaces>1980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2023-07-24T02:25:00Z</dcterms:created>
  <dc:creator>Lenovo</dc:creator>
  <cp:lastModifiedBy>学凯</cp:lastModifiedBy>
  <dcterms:modified xsi:type="dcterms:W3CDTF">2025-12-18T06:15:56Z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DB0CFE20501443DA9E1AA4FCE3D73E29_12</vt:lpwstr>
  </property>
  <property fmtid="{D5CDD505-2E9C-101B-9397-08002B2CF9AE}" pid="4" name="KSOTemplateDocerSaveRecord">
    <vt:lpwstr>eyJoZGlkIjoiN2FmOGNjMjYxYTkzNGI4NWI0Mjc2YjE5MWY5MDBmMDYiLCJ1c2VySWQiOiIyNjkyNTU4MDcifQ==</vt:lpwstr>
  </property>
</Properties>
</file>