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版本号：DXZB-2025-1211320260108002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阎良区2025年度卫片执法项目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DXZB-2025-12113</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阎良区2025年度卫片执法项目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DXZB-2025-12113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阎良区2025年度卫片执法项目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利用2025年卫星遥感监测开展日常执法工作，以耕地保护和粮食安全责任制考核为契机，推动落实耕地保护和粮食安全，牢牢守住辖区耕地面积不减，质量不降。按卫星遥感日常监测工作，聚焦耕地保护，突出工作重点，辅助地方早发现、早制止、早查处、早预警。落实关于耕地和生态保护“长牙齿”硬措施工作机制要求，提升行政执法效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采购包1（阎良区2025年度卫片执法项目）：属于专门面向中小企业采购。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2、特定资格：供应商须具备国家行政机关颁发的乙级 (含乙级) 以上测绘资质 ；</w:t>
      </w:r>
    </w:p>
    <w:p>
      <w:pPr>
        <w:pStyle w:val="null3"/>
      </w:pPr>
      <w:r>
        <w:rPr>
          <w:rFonts w:ascii="仿宋_GB2312" w:hAnsi="仿宋_GB2312" w:cs="仿宋_GB2312" w:eastAsia="仿宋_GB2312"/>
        </w:rPr>
        <w:t>3、法定代表人授权书：提供法定代表人授权委托书及被授权人身份证（投标人为法定代表人时，须提交法定代表人证明书）；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4、基本资格条件承诺函：基本资格条件承诺函；</w:t>
      </w:r>
    </w:p>
    <w:p>
      <w:pPr>
        <w:pStyle w:val="null3"/>
      </w:pPr>
      <w:r>
        <w:rPr>
          <w:rFonts w:ascii="仿宋_GB2312" w:hAnsi="仿宋_GB2312" w:cs="仿宋_GB2312" w:eastAsia="仿宋_GB2312"/>
        </w:rPr>
        <w:t>5、信用主体查询：截止竞争性磋商响应文件递交截止时间之前，供应商不得在“信用中国” 网站（ww w.creditchina.gov.cn）中被列入失信被执行人、重大税收违法失信主体名单、“ 中国政府采购网(www.ccgp.gov.cn)” 未被列入政府采购严重违法失信行为记录名单；</w:t>
      </w:r>
    </w:p>
    <w:p>
      <w:pPr>
        <w:pStyle w:val="null3"/>
      </w:pPr>
      <w:r>
        <w:rPr>
          <w:rFonts w:ascii="仿宋_GB2312" w:hAnsi="仿宋_GB2312" w:cs="仿宋_GB2312" w:eastAsia="仿宋_GB2312"/>
        </w:rPr>
        <w:t>6、本项目不接受联合体投标：本项目不接受联合体投标；</w:t>
      </w:r>
    </w:p>
    <w:p>
      <w:pPr>
        <w:pStyle w:val="null3"/>
      </w:pPr>
      <w:r>
        <w:rPr>
          <w:rFonts w:ascii="仿宋_GB2312" w:hAnsi="仿宋_GB2312" w:cs="仿宋_GB2312" w:eastAsia="仿宋_GB2312"/>
        </w:rPr>
        <w:t>7、中小企业声明函：本项目专门面向中小企业采购；须符合财政部 工业和信息化部《关于印发〈政府采购促进中小企业发展管理办法〉的通知》（财库〔2020〕46号）规定的中小企业参加，并提供《中小企业声明函》。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陕西省西安市雁塔区南二环东段凯森盛世一号B座四层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029-82694900转9021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在领取（中标）成交通知书前由中标（成交）单位向陕西德信招标有限公司缴纳代理服务费。 中标（成交）服务费账户：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成果交付要求：①工作方案 (1 份) ；②卫星遥感监测图斑“一点一档”档案 (1 份) 。③服务应满足国家及行业相关标准，以及招标文件要求及相关服务合同、技术协议等要求。④ 质量符合国家法律法规规定的合格标准、招标文件的要求。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联系人：李老师</w:t>
      </w:r>
    </w:p>
    <w:p>
      <w:pPr>
        <w:pStyle w:val="null3"/>
      </w:pPr>
      <w:r>
        <w:rPr>
          <w:rFonts w:ascii="仿宋_GB2312" w:hAnsi="仿宋_GB2312" w:cs="仿宋_GB2312" w:eastAsia="仿宋_GB2312"/>
        </w:rPr>
        <w:t>联系电话：029-82694900转9021</w:t>
      </w:r>
    </w:p>
    <w:p>
      <w:pPr>
        <w:pStyle w:val="null3"/>
      </w:pPr>
      <w:r>
        <w:rPr>
          <w:rFonts w:ascii="仿宋_GB2312" w:hAnsi="仿宋_GB2312" w:cs="仿宋_GB2312" w:eastAsia="仿宋_GB2312"/>
        </w:rPr>
        <w:t>地址：陕西省西安市雁塔区南二环东段凯森盛世一号B座四层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2025年卫星遥感监测开展日常执法工作，以耕地保护和粮食安全责任制考核为契机，推动落实耕地保护和粮食安全，牢牢守住辖区耕地面积不减，质量不降。按卫星遥感日常监测工作，聚焦耕地保护，突出工作重点，辅助地方早发现、早制止、早查处、早预警。落实关于耕地和生态保护“长牙齿”硬措施工作机制要求，提升行政执法效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年度违法用地卫片执法核查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标的名称：年度违法用地卫片执法核查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工作范围</w:t>
            </w:r>
          </w:p>
          <w:p>
            <w:pPr>
              <w:pStyle w:val="null3"/>
              <w:jc w:val="both"/>
            </w:pPr>
            <w:r>
              <w:rPr>
                <w:rFonts w:ascii="仿宋_GB2312" w:hAnsi="仿宋_GB2312" w:cs="仿宋_GB2312" w:eastAsia="仿宋_GB2312"/>
                <w:sz w:val="21"/>
              </w:rPr>
              <w:t xml:space="preserve">阎良区（自管区）范围内部、省、市下发的卫星遥感监测数据处理、制作档案等，并将阎良区全区数据进行汇总后按照要求核查上报。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前期工作：根据部、省、市要求编制卫星遥感监测调查工作方案、技术方案，制定检查制度，组织参加各项会议及培训。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下发数据分析：按照部、省、市文件要求，对下发卫星遥感监测数据进行分析，并完善工作底图制作、KMZ制作等。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外业勘测：完成对有异议的卫片遥感监测图斑开展外业实地指界测量工作，确保图斑的权属界线准确、面积无误。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完成自然资源卫星遥感云服务平台数据填报工作，包括：图件上传、批复文件上传、照片上传、合法手续上传等和部级、省级、市级内业核查、“互联网+”在线核查、外业实地检查以及资料查阅工作，并对部级、省级核查、市级检查中发现的问题按要求进行技术指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根据卫片遥感监测图斑制作“一点一档”档案，其中包括土地利用现状图、影像图和三区三线图、图斑卷宗封面、举证照片、分类整理相关卷宗资料（用地审批文件、供地文件），整理组卷。</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1．《自然资源部办公厅关于明确土地卫片执法地类套合统计规则的通知》(自然资办函〔2022〕974号)。</w:t>
            </w:r>
          </w:p>
          <w:p>
            <w:pPr>
              <w:pStyle w:val="null3"/>
              <w:jc w:val="both"/>
            </w:pPr>
            <w:r>
              <w:rPr>
                <w:rFonts w:ascii="仿宋_GB2312" w:hAnsi="仿宋_GB2312" w:cs="仿宋_GB2312" w:eastAsia="仿宋_GB2312"/>
                <w:sz w:val="21"/>
              </w:rPr>
              <w:t>2.《自然资源部办公厅关于修订&lt;土地卫片执法图斑合法性判定规则&gt;的通知》(自然资办函〔2023〕337号)。</w:t>
            </w:r>
          </w:p>
          <w:p>
            <w:pPr>
              <w:pStyle w:val="null3"/>
              <w:jc w:val="both"/>
            </w:pPr>
            <w:r>
              <w:rPr>
                <w:rFonts w:ascii="仿宋_GB2312" w:hAnsi="仿宋_GB2312" w:cs="仿宋_GB2312" w:eastAsia="仿宋_GB2312"/>
                <w:sz w:val="21"/>
              </w:rPr>
              <w:t>3.《第三次全国国土调查技术规程》。</w:t>
            </w:r>
          </w:p>
          <w:p>
            <w:pPr>
              <w:pStyle w:val="null3"/>
              <w:jc w:val="both"/>
            </w:pPr>
            <w:r>
              <w:rPr>
                <w:rFonts w:ascii="仿宋_GB2312" w:hAnsi="仿宋_GB2312" w:cs="仿宋_GB2312" w:eastAsia="仿宋_GB2312"/>
                <w:sz w:val="21"/>
              </w:rPr>
              <w:t>4.《第三次全国国土调查工作分类》。</w:t>
            </w:r>
          </w:p>
          <w:p>
            <w:pPr>
              <w:pStyle w:val="null3"/>
              <w:jc w:val="both"/>
            </w:pPr>
            <w:r>
              <w:rPr>
                <w:rFonts w:ascii="仿宋_GB2312" w:hAnsi="仿宋_GB2312" w:cs="仿宋_GB2312" w:eastAsia="仿宋_GB2312"/>
                <w:sz w:val="21"/>
              </w:rPr>
              <w:t>5.《土地利用分类现状》 (GB/T21010-2017)。</w:t>
            </w:r>
          </w:p>
          <w:p>
            <w:pPr>
              <w:pStyle w:val="null3"/>
              <w:jc w:val="both"/>
            </w:pPr>
            <w:r>
              <w:rPr>
                <w:rFonts w:ascii="仿宋_GB2312" w:hAnsi="仿宋_GB2312" w:cs="仿宋_GB2312" w:eastAsia="仿宋_GB2312"/>
                <w:sz w:val="21"/>
              </w:rPr>
              <w:t>6. 《关于开展2025年西安市卫星遥感日常监测工作的通知》。</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1.向采购人提供有效的技术指导、培训和支援。</w:t>
            </w:r>
          </w:p>
          <w:p>
            <w:pPr>
              <w:pStyle w:val="null3"/>
              <w:jc w:val="both"/>
            </w:pPr>
            <w:r>
              <w:rPr>
                <w:rFonts w:ascii="仿宋_GB2312" w:hAnsi="仿宋_GB2312" w:cs="仿宋_GB2312" w:eastAsia="仿宋_GB2312"/>
                <w:sz w:val="21"/>
              </w:rPr>
              <w:t>2.供应商负责为采购人对整个项目的合理化把控提出可行性建议，有能力对项目中出现的各种问题提供可供参考的解决方案，以保证项目顺利进行。</w:t>
            </w:r>
          </w:p>
          <w:p>
            <w:pPr>
              <w:pStyle w:val="null3"/>
              <w:jc w:val="both"/>
            </w:pPr>
            <w:r>
              <w:rPr>
                <w:rFonts w:ascii="仿宋_GB2312" w:hAnsi="仿宋_GB2312" w:cs="仿宋_GB2312" w:eastAsia="仿宋_GB2312"/>
                <w:sz w:val="21"/>
              </w:rPr>
              <w:t>3.配合采购人与本项目有关的其他工作。</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进度要求</w:t>
            </w:r>
            <w:r>
              <w:rPr>
                <w:rFonts w:ascii="仿宋_GB2312" w:hAnsi="仿宋_GB2312" w:cs="仿宋_GB2312" w:eastAsia="仿宋_GB2312"/>
                <w:sz w:val="21"/>
              </w:rPr>
              <w:t>:</w:t>
            </w:r>
            <w:r>
              <w:rPr>
                <w:rFonts w:ascii="仿宋_GB2312" w:hAnsi="仿宋_GB2312" w:cs="仿宋_GB2312" w:eastAsia="仿宋_GB2312"/>
                <w:sz w:val="21"/>
              </w:rPr>
              <w:t>以部、省、市要求的时间节点，按期完成工作任务。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工作方案 (1 份)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卫星遥感监测图斑“一点一档”档案 (1 份)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服务应满足国家及行业相关标准，以及招标文件要求及相关服务合同、技术协议等要求。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质量符合国家法律法规规定的合格标准、招标文件的要求。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2025年部、省、市下发卫星遥感日常监测任务结束。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提交年度成果并完成年度服务任务后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①供应商提供的服务不符合本合同约定的，供应商应当按照采购人要求更正或修改，直至通过采购人的验收，并承担由此产生的全部费用。 ②供应商未能按本合同约定的时间提供最终成果，从逾期之日起每日按本合同总价万分之三的数额向采购人支付违约金，违约金总额不超过合同总额的5%；但因不可归责于供应商原因（包括但不限于政府行为、客观事实、标准变动、不可抗力等）导致的逾期交付，双方协商顺延工期。 ③采购人非因不可抗力逾期付款的，经供应商书面正式催告20日内仍不付款的，则每日按本合同总价的万分之三向供应商偿付违约金，违约金总额不超过合同总额的5%。 ④本合同未完全履约而终止的,供应商无需退还已经收取的合同款项，并有权就已经履约产生的成果向采购人收取相应的经济利益，采购人支付成果对价后，供应商将成果交付采购人。</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供应商须具备国家行政机关颁发的乙级 (含乙级) 以上测绘资质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法定代表人证明书或授权书.docx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 w.creditchina.gov.cn）中被列入失信被执行人、重大税收违法失信主体名单、“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本项目专门面向中小企业采购；须符合财政部 工业和信息化部《关于印发〈政府采购促进中小企业发展管理办法〉的通知》（财库〔2020〕46号）规定的中小企业参加，并提供《中小企业声明函》。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响应文件签署、签章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基本资格条件承诺函.docx 服务内容及服务邀请应答表 项目业绩表.docx 法定代表人证明书或授权书.docx 中小企业声明函 商务应答表 报价表 资格证明文件.docx 响应文件封面 残疾人福利性单位声明函 标的清单 响应函 陕西省政府采购供应商拒绝政府采购领域商业贿赂承诺书.docx 服务方案.docx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 ；（3）报价不得超过第二章“供应商须知”前附表规定的采购预算金额或最高限价。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按照采购项目全部商务要求逐条响应，且不可负偏离，否则视为无效投标。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基本资格条件承诺函.docx 服务内容及服务邀请应答表 项目业绩表.docx 法定代表人证明书或授权书.docx 中小企业声明函 商务应答表 报价表 资格证明文件.docx 响应文件封面 标的清单 响应函 陕西省政府采购供应商拒绝政府采购领域商业贿赂承诺书.docx 服务方案.docx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基本资格条件承诺函.docx 服务内容及服务邀请应答表 法定代表人证明书或授权书.docx 商务应答表 标的清单 报价表 响应函 资格证明文件.docx 陕西省政府采购供应商拒绝政府采购领域商业贿赂承诺书.docx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工作方案完整性与可行性建议</w:t>
            </w:r>
          </w:p>
        </w:tc>
        <w:tc>
          <w:tcPr>
            <w:tcW w:type="dxa" w:w="2492"/>
          </w:tcPr>
          <w:p>
            <w:pPr>
              <w:pStyle w:val="null3"/>
            </w:pPr>
            <w:r>
              <w:rPr>
                <w:rFonts w:ascii="仿宋_GB2312" w:hAnsi="仿宋_GB2312" w:cs="仿宋_GB2312" w:eastAsia="仿宋_GB2312"/>
              </w:rPr>
              <w:t>工作方案包含①前期工作筹备；②下发数据分析；③外业勘测；④数据填报；⑤档案制作全流程；⑥对整个项目的合理化把控提出的可行性建议。方案各环节流程清晰、责任明确、衔接顺畅，针对性强，实施性科学合理。每项满分5分，缺项不得分，每有一处内容存在缺陷，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①重点、难点分析；② 关于重难点的应对措施。 方案内容全面详细、阐述条理清晰、针对性强，科学合理。 每项满分2分，缺项不得分，每有一处内容存在瑕疵，扣1分。“瑕疵”指内容明显错误，或内容表述前后矛盾或内容不完整或表达简单笼统或缺少关键点，或不适用本项目特性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针对本项目的应急处理方案①对紧急或突发业务的应急保障措施；②应急响应时间；③出现问题应急人员安排。方案内容全面详细、阐述条理清晰、针对性强，科学合理。 每项满分2分，缺项不得分，每有一处内容存在瑕疵，扣1分。“瑕疵”指内容明显错误，或内容表述前后矛盾或内容不完整或表达简单笼统或缺少关键点，或不适用本项目特性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专业设备配置</w:t>
            </w:r>
          </w:p>
        </w:tc>
        <w:tc>
          <w:tcPr>
            <w:tcW w:type="dxa" w:w="2492"/>
          </w:tcPr>
          <w:p>
            <w:pPr>
              <w:pStyle w:val="null3"/>
            </w:pPr>
            <w:r>
              <w:rPr>
                <w:rFonts w:ascii="仿宋_GB2312" w:hAnsi="仿宋_GB2312" w:cs="仿宋_GB2312" w:eastAsia="仿宋_GB2312"/>
              </w:rPr>
              <w:t>提供设备清单（含卫星定位接收机、全站仪、测绘软件等外业勘测与内业处理设备），设备数量充足、型号先进，能满足项目全流程需求的，得5分；设备清单基本完整，但高精度定位设备数量不足1台的，得3分；未提供设备清单或设备无法满足基本需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技术人员配置</w:t>
            </w:r>
          </w:p>
        </w:tc>
        <w:tc>
          <w:tcPr>
            <w:tcW w:type="dxa" w:w="2492"/>
          </w:tcPr>
          <w:p>
            <w:pPr>
              <w:pStyle w:val="null3"/>
            </w:pPr>
            <w:r>
              <w:rPr>
                <w:rFonts w:ascii="仿宋_GB2312" w:hAnsi="仿宋_GB2312" w:cs="仿宋_GB2312" w:eastAsia="仿宋_GB2312"/>
              </w:rPr>
              <w:t>1. 项目团队包含至少3名具备测绘相关专业中级及以上职称的技术人员，人员分工合理的，得6分；2. 技术人员数量达标但仅1人为中级职称、其余为初级的，得3分；3. 未提供人员资质证明或人员配置不足3人的，得0分。注：提供人员职称证书、近3个月社保缴纳证明。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①明确各阶段工作的具体时间节点（误差不超过3个工作日）；②制定与部、省、市要求同步的进度计划；③配备专人负责进度跟踪；④有延误应对预案。方案各项内容全面详细、阐述条理清晰详尽、符合本项目采购需求，能有效保障本项目实施。每项满分2分，缺项不得分，每有一处内容存在缺陷，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建立全流程质量控制体系（含数据审核、外业复核、档案校验）；②明确质量责任人及量化考核指标（如数据准确率≥99%）。方案各项内容全面详细、阐述条理清晰、针对性强，实施性科学合理。每项满分2分，缺项不得分，每有一处内容存在缺陷，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根据成果交付要求，提供成果提交措施，方案内容明确、流程完整合理、可行，根据响应程度得0-5分。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 方案内容全面详细、阐述条理清晰、针对性强，实施性科学合理。 每项满分1.5分，缺项不得分，每有一处内容存在瑕疵，扣1分。“瑕疵”指内容明显错误，或内容表述前后矛盾或内容不完整或表达简单笼统或缺少关键点，或不适用本项目特性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后续服务工作安排和服务承诺</w:t>
            </w:r>
          </w:p>
        </w:tc>
        <w:tc>
          <w:tcPr>
            <w:tcW w:type="dxa" w:w="2492"/>
          </w:tcPr>
          <w:p>
            <w:pPr>
              <w:pStyle w:val="null3"/>
            </w:pPr>
            <w:r>
              <w:rPr>
                <w:rFonts w:ascii="仿宋_GB2312" w:hAnsi="仿宋_GB2312" w:cs="仿宋_GB2312" w:eastAsia="仿宋_GB2312"/>
              </w:rPr>
              <w:t>针对本项目有明确的①后续服务工作安排；②服务内容；③服务承诺。 方案内容全面详细、阐述条理清晰、针对性强，实施性科学合理。 每项满分2分，缺项不得分，每有一处内容存在瑕疵，扣1分。“瑕疵”指内容明显错误，或内容表述前后矛盾或内容不完整或表达简单笼统或缺少关键点，或不适用本项目特性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提供有效的技术指导、培训，根据响应情况得0-4分。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技术支援与响应</w:t>
            </w:r>
          </w:p>
        </w:tc>
        <w:tc>
          <w:tcPr>
            <w:tcW w:type="dxa" w:w="2492"/>
          </w:tcPr>
          <w:p>
            <w:pPr>
              <w:pStyle w:val="null3"/>
            </w:pPr>
            <w:r>
              <w:rPr>
                <w:rFonts w:ascii="仿宋_GB2312" w:hAnsi="仿宋_GB2312" w:cs="仿宋_GB2312" w:eastAsia="仿宋_GB2312"/>
              </w:rPr>
              <w:t>承诺项目完成后提供至少12个月的技术支援，响应时间不超过24小时（工作日），能及时解决后续使用中的问题的，得2分；提供技术支援但响应时间超过24小时或支援期限不足12个月的，得1分；未承诺技术支援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起（以合同签订之日为准）至今，供应商具有同类服务经验的业绩，业绩证明材料以合同有效复印件（至少包含签字页、金额页、合同内容页等信息内容）为准，每提供一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 其他供应商的价格分统一按照下列公式计算： 磋商报价得分=（磋商基准价/最终磋商报价）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详见附件：法定代表人证明书或授权书.docx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