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版本号：SXDC2025-ZB-00620250320001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阎良区关山街道办东丁村农村供水改造项目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SXDC2025-ZB-006</w:t>
      </w:r>
      <w:r>
        <w:br/>
      </w:r>
      <w:r>
        <w:br/>
      </w:r>
      <w:r>
        <w:br/>
      </w:r>
    </w:p>
    <w:p>
      <w:pPr>
        <w:pStyle w:val="null3"/>
        <w:jc w:val="center"/>
        <w:outlineLvl w:val="2"/>
      </w:pPr>
      <w:r>
        <w:rPr>
          <w:rFonts w:ascii="仿宋_GB2312" w:hAnsi="仿宋_GB2312" w:cs="仿宋_GB2312" w:eastAsia="仿宋_GB2312"/>
          <w:sz w:val="28"/>
          <w:b/>
        </w:rPr>
        <w:t>西安市阎良区水务局</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西安市阎良区水务局</w:t>
      </w:r>
      <w:r>
        <w:rPr>
          <w:rFonts w:ascii="仿宋_GB2312" w:hAnsi="仿宋_GB2312" w:cs="仿宋_GB2312" w:eastAsia="仿宋_GB2312"/>
        </w:rPr>
        <w:t>委托，拟对</w:t>
      </w:r>
      <w:r>
        <w:rPr>
          <w:rFonts w:ascii="仿宋_GB2312" w:hAnsi="仿宋_GB2312" w:cs="仿宋_GB2312" w:eastAsia="仿宋_GB2312"/>
        </w:rPr>
        <w:t>阎良区关山街道办东丁村农村供水改造项目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SXDC2025-ZB-006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阎良区关山街道办东丁村农村供水改造项目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本工程铺设主支管网13.45km，管径Ф20-Ф110,管道材质均采用PE管材,修建各类井室86座及用户计量设施269个等。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采购包1（阎良区关山街道办东丁村农村供水改造项目）：属于专门面向中小企业采购。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书：法定代表人授权书（附法定代表人、被授权人身份证复印件）及被授权人身份证复印件（法定代表人直接参加招标，须提供法定代表人身份证明及身份证复印件）；非法人单位参照执行</w:t>
      </w:r>
    </w:p>
    <w:p>
      <w:pPr>
        <w:pStyle w:val="null3"/>
      </w:pPr>
      <w:r>
        <w:rPr>
          <w:rFonts w:ascii="仿宋_GB2312" w:hAnsi="仿宋_GB2312" w:cs="仿宋_GB2312" w:eastAsia="仿宋_GB2312"/>
        </w:rPr>
        <w:t>2、有效的主体资格证明：具有独立承担民事责任能力的法人、其他组织或自然人，并出具合法有效的营业执照或事业单位法人证书等国家规定的相关证明，自然人参与的提供其身份证明书；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3、资质证书：供应商需具备建设行政主管部门核发的水利水电工程施工总承包三级（含三级）以上资质，安全生产许可证；</w:t>
      </w:r>
    </w:p>
    <w:p>
      <w:pPr>
        <w:pStyle w:val="null3"/>
      </w:pPr>
      <w:r>
        <w:rPr>
          <w:rFonts w:ascii="仿宋_GB2312" w:hAnsi="仿宋_GB2312" w:cs="仿宋_GB2312" w:eastAsia="仿宋_GB2312"/>
        </w:rPr>
        <w:t>4、项目经理：拟派项目经理具备水利水电工程专业国家注册二级(含二级)以上建造师资格，项目经理具有水行政主管部门颁发的安全生产考核合格证，且在本单位注册；</w:t>
      </w:r>
    </w:p>
    <w:p>
      <w:pPr>
        <w:pStyle w:val="null3"/>
      </w:pPr>
      <w:r>
        <w:rPr>
          <w:rFonts w:ascii="仿宋_GB2312" w:hAnsi="仿宋_GB2312" w:cs="仿宋_GB2312" w:eastAsia="仿宋_GB2312"/>
        </w:rPr>
        <w:t>5、财务状况报告：提供2022年度经审计的财务报告，或投标前三个月内公司存款账户开户银行出具的资信证明（以上两种形式的资料提供任何一种即可）；</w:t>
      </w:r>
    </w:p>
    <w:p>
      <w:pPr>
        <w:pStyle w:val="null3"/>
      </w:pPr>
      <w:r>
        <w:rPr>
          <w:rFonts w:ascii="仿宋_GB2312" w:hAnsi="仿宋_GB2312" w:cs="仿宋_GB2312" w:eastAsia="仿宋_GB2312"/>
        </w:rPr>
        <w:t>6、税收缴纳证明：提交投标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8、无重大违法记录说明：参加政府采购活动前3年内，在经营活动中没有重大违法记录；</w:t>
      </w:r>
    </w:p>
    <w:p>
      <w:pPr>
        <w:pStyle w:val="null3"/>
      </w:pPr>
      <w:r>
        <w:rPr>
          <w:rFonts w:ascii="仿宋_GB2312" w:hAnsi="仿宋_GB2312" w:cs="仿宋_GB2312" w:eastAsia="仿宋_GB2312"/>
        </w:rPr>
        <w:t>9、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10、履约能力：供应商具备履行合同所必需的设备和专业技术能力；</w:t>
      </w:r>
    </w:p>
    <w:p>
      <w:pPr>
        <w:pStyle w:val="null3"/>
      </w:pPr>
      <w:r>
        <w:rPr>
          <w:rFonts w:ascii="仿宋_GB2312" w:hAnsi="仿宋_GB2312" w:cs="仿宋_GB2312" w:eastAsia="仿宋_GB2312"/>
        </w:rPr>
        <w:t>11、非联合体投标承诺：本项目不接受联合体投标。单位负责人为同一人或者存在控股、管理关系的不同单位不得同时参加。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西安市阎良区人民路东段南侧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029-86861005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西安市未央区凤城四路世融国际中心8楼805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采购包1：878,995.00元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按差额定率累进法计算，具体收费标准参照计价格[2002]1980号、发改价格[2011]534号、发改办价格〔2003〕857号执行。由中标供应商在领取中标通知书前向招标代理机构一次性支付。 收款账户信息： 开户名称：陕西迪诚项目管理有限公司 开户银行：中国建设银行股份有限公司西安世融嘉城支行 账 号：61050175540000000417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西安市阎良区水务局</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陕西迪诚项目管理有限公司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按国家及省市相关建设工程质量标准的规定，达到"合格"要求。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地址：西安市未央区凤城四路世融国际中心8楼805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878,995.00</w:t>
      </w:r>
    </w:p>
    <w:p>
      <w:pPr>
        <w:pStyle w:val="null3"/>
      </w:pPr>
      <w:r>
        <w:rPr>
          <w:rFonts w:ascii="仿宋_GB2312" w:hAnsi="仿宋_GB2312" w:cs="仿宋_GB2312" w:eastAsia="仿宋_GB2312"/>
        </w:rPr>
        <w:t>采购包最高限价（元）: 878,995.00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878995.00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878,995.00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标的名称：878995.00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按国家及省市相关建设工程质量标准的规定，达到</w:t>
            </w:r>
            <w:r>
              <w:rPr>
                <w:rFonts w:ascii="仿宋_GB2312" w:hAnsi="仿宋_GB2312" w:cs="仿宋_GB2312" w:eastAsia="仿宋_GB2312"/>
                <w:sz w:val="21"/>
              </w:rPr>
              <w:t>"合格"要求。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按国家及省市相关建设工程质量标准的规定，达到"合格"要求。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按国家及省市相关建设工程质量标准的规定，达到"合格"要求。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财务状况报告：提供2022年度经审计的财务报告，或投标前三个月内公司存款账户开户银行出具的资信证明（以上两种形式的资料提供任何一种即可）；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供应商需具备建设行政主管部门核发的水利水电工程施工总承包三级（含三级）以上资质，安全生产许可证；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拟派项目经理具备水利水电工程专业国家注册二级(含二级)以上建造师资格，项目经理具有水行政主管部门颁发的安全生产考核合格证，且在本单位注册；</w:t>
            </w:r>
          </w:p>
        </w:tc>
        <w:tc>
          <w:tcPr>
            <w:tcW w:type="dxa" w:w="1661"/>
          </w:tcPr>
          <w:p>
            <w:pPr>
              <w:pStyle w:val="null3"/>
            </w:pPr>
            <w:r>
              <w:rPr>
                <w:rFonts w:ascii="仿宋_GB2312" w:hAnsi="仿宋_GB2312" w:cs="仿宋_GB2312" w:eastAsia="仿宋_GB2312"/>
              </w:rPr>
              <w:t>供应商应提交的相关资格证明材料.docx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提供2022年度经审计的财务报告，或投标前三个月内公司存款账户开户银行出具的资信证明（以上两种形式的资料提供任何一种即可）；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无重大违法记录说明</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非联合体投标承诺</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供应商应提交的相关资格证明材料.docx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 内容①～②项任意一项缺项扣5分，扣完为止； 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 内容①～②项任意一项缺项扣5分，扣完为止； 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提供2021年1月1日至今类似项目业绩证明材料（须提供合同协议，时间以合同签订时间为准），每份2分，满分10分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满足磋商文件要求且最后综合报价，最低的供应商的价格为磋商基准价，其价格分为满分。其他供应商的价格分统一按照下列公式计算:磋商报价得分=(磋商基准价/最后磋商报价)x价格权值(20%)x100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