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75F9E4">
      <w:pPr>
        <w:widowControl/>
        <w:jc w:val="left"/>
      </w:pPr>
      <w:r>
        <w:rPr>
          <w:rFonts w:hint="eastAsia" w:ascii="仿宋" w:hAnsi="仿宋" w:eastAsia="仿宋"/>
          <w:b/>
          <w:sz w:val="32"/>
          <w:szCs w:val="32"/>
        </w:rPr>
        <w:t>附件2：政府采购需求书范本（服务类）</w:t>
      </w:r>
    </w:p>
    <w:tbl>
      <w:tblPr>
        <w:tblStyle w:val="7"/>
        <w:tblW w:w="93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689"/>
        <w:gridCol w:w="1556"/>
        <w:gridCol w:w="7067"/>
      </w:tblGrid>
      <w:tr w14:paraId="7D0E4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28D8F2AD">
            <w:pPr>
              <w:snapToGrid w:val="0"/>
              <w:jc w:val="center"/>
              <w:rPr>
                <w:rFonts w:ascii="宋体" w:hAnsi="宋体"/>
                <w:b/>
                <w:sz w:val="24"/>
              </w:rPr>
            </w:pPr>
            <w:r>
              <w:rPr>
                <w:rFonts w:hint="eastAsia" w:ascii="宋体" w:hAnsi="宋体"/>
                <w:b/>
                <w:sz w:val="28"/>
                <w:szCs w:val="28"/>
                <w:lang w:val="zh-CN"/>
              </w:rPr>
              <w:t>序号</w:t>
            </w:r>
          </w:p>
        </w:tc>
        <w:tc>
          <w:tcPr>
            <w:tcW w:w="1556" w:type="dxa"/>
            <w:vAlign w:val="center"/>
          </w:tcPr>
          <w:p w14:paraId="6C89E4CE">
            <w:pPr>
              <w:pStyle w:val="30"/>
              <w:ind w:left="38"/>
              <w:jc w:val="center"/>
              <w:rPr>
                <w:b/>
                <w:kern w:val="2"/>
                <w:lang w:val="zh-CN"/>
              </w:rPr>
            </w:pPr>
            <w:r>
              <w:rPr>
                <w:rFonts w:hint="eastAsia"/>
                <w:b/>
                <w:kern w:val="2"/>
                <w:sz w:val="28"/>
                <w:szCs w:val="28"/>
                <w:lang w:val="zh-CN"/>
              </w:rPr>
              <w:t>关键事项</w:t>
            </w:r>
          </w:p>
        </w:tc>
        <w:tc>
          <w:tcPr>
            <w:tcW w:w="7067" w:type="dxa"/>
            <w:vAlign w:val="center"/>
          </w:tcPr>
          <w:p w14:paraId="7A06B0F7">
            <w:pPr>
              <w:pStyle w:val="30"/>
              <w:jc w:val="center"/>
              <w:rPr>
                <w:b/>
                <w:kern w:val="2"/>
                <w:lang w:val="zh-CN"/>
              </w:rPr>
            </w:pPr>
            <w:r>
              <w:rPr>
                <w:rFonts w:hint="eastAsia"/>
                <w:b/>
                <w:kern w:val="2"/>
                <w:sz w:val="28"/>
                <w:szCs w:val="28"/>
                <w:lang w:val="zh-CN"/>
              </w:rPr>
              <w:t>说明和要求</w:t>
            </w:r>
          </w:p>
        </w:tc>
      </w:tr>
      <w:tr w14:paraId="20112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4D2E95B6">
            <w:pPr>
              <w:snapToGrid w:val="0"/>
              <w:spacing w:after="200"/>
              <w:jc w:val="center"/>
              <w:rPr>
                <w:rFonts w:ascii="宋体" w:hAnsi="宋体"/>
                <w:sz w:val="28"/>
                <w:szCs w:val="28"/>
                <w:lang w:val="zh-CN"/>
              </w:rPr>
            </w:pPr>
            <w:r>
              <w:rPr>
                <w:rFonts w:ascii="宋体" w:hAnsi="宋体"/>
                <w:sz w:val="28"/>
                <w:szCs w:val="28"/>
                <w:lang w:val="zh-CN"/>
              </w:rPr>
              <w:t>1</w:t>
            </w:r>
          </w:p>
        </w:tc>
        <w:tc>
          <w:tcPr>
            <w:tcW w:w="1556" w:type="dxa"/>
            <w:vAlign w:val="center"/>
          </w:tcPr>
          <w:p w14:paraId="097E2FC0">
            <w:pPr>
              <w:pStyle w:val="30"/>
              <w:ind w:left="38"/>
              <w:jc w:val="center"/>
              <w:rPr>
                <w:kern w:val="2"/>
                <w:lang w:val="zh-CN"/>
              </w:rPr>
            </w:pPr>
            <w:r>
              <w:rPr>
                <w:rFonts w:hint="eastAsia"/>
                <w:kern w:val="2"/>
                <w:lang w:val="zh-CN"/>
              </w:rPr>
              <w:t>采购预算</w:t>
            </w:r>
          </w:p>
        </w:tc>
        <w:tc>
          <w:tcPr>
            <w:tcW w:w="7067" w:type="dxa"/>
            <w:vAlign w:val="center"/>
          </w:tcPr>
          <w:p w14:paraId="1A021880">
            <w:pPr>
              <w:pStyle w:val="30"/>
              <w:jc w:val="both"/>
              <w:rPr>
                <w:b/>
                <w:kern w:val="2"/>
                <w:lang w:val="zh-CN"/>
              </w:rPr>
            </w:pPr>
            <w:r>
              <w:rPr>
                <w:rFonts w:hint="eastAsia"/>
                <w:b/>
                <w:kern w:val="2"/>
                <w:lang w:val="zh-CN"/>
              </w:rPr>
              <w:t>人民币</w:t>
            </w:r>
            <w:r>
              <w:rPr>
                <w:rFonts w:hint="eastAsia"/>
                <w:b/>
                <w:kern w:val="2"/>
                <w:u w:val="single"/>
                <w:lang w:val="en-US" w:eastAsia="zh-CN"/>
              </w:rPr>
              <w:t xml:space="preserve">  700000.00  </w:t>
            </w:r>
            <w:r>
              <w:rPr>
                <w:rFonts w:hint="eastAsia"/>
                <w:b/>
                <w:kern w:val="2"/>
                <w:lang w:val="zh-CN"/>
              </w:rPr>
              <w:t>元</w:t>
            </w:r>
          </w:p>
          <w:p w14:paraId="72DB82A2">
            <w:pPr>
              <w:pStyle w:val="30"/>
              <w:jc w:val="both"/>
              <w:rPr>
                <w:b/>
                <w:kern w:val="2"/>
                <w:lang w:val="zh-CN"/>
              </w:rPr>
            </w:pPr>
            <w:r>
              <w:rPr>
                <w:rFonts w:hint="eastAsia"/>
                <w:kern w:val="2"/>
                <w:sz w:val="21"/>
                <w:szCs w:val="21"/>
                <w:lang w:val="zh-CN"/>
              </w:rPr>
              <w:t>仅指与本次采购标的直接相关的费用，前期勘察费、设计费等已发生的费用，以及监理费、接口费等为未来预留费用，不应当包含在本项目采购预算内，甲方须向本级财政部门经费业务处室申请办理经费剥离手续。</w:t>
            </w:r>
          </w:p>
        </w:tc>
      </w:tr>
      <w:tr w14:paraId="73A95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0B0AB4E7">
            <w:pPr>
              <w:snapToGrid w:val="0"/>
              <w:spacing w:after="200"/>
              <w:jc w:val="center"/>
              <w:rPr>
                <w:rFonts w:ascii="宋体" w:hAnsi="宋体"/>
                <w:sz w:val="28"/>
                <w:szCs w:val="28"/>
                <w:lang w:val="zh-CN"/>
              </w:rPr>
            </w:pPr>
            <w:r>
              <w:rPr>
                <w:rFonts w:ascii="宋体" w:hAnsi="宋体"/>
                <w:sz w:val="28"/>
                <w:szCs w:val="28"/>
                <w:lang w:val="zh-CN"/>
              </w:rPr>
              <w:t>2</w:t>
            </w:r>
          </w:p>
        </w:tc>
        <w:tc>
          <w:tcPr>
            <w:tcW w:w="1556" w:type="dxa"/>
            <w:vAlign w:val="center"/>
          </w:tcPr>
          <w:p w14:paraId="22C13CFD">
            <w:pPr>
              <w:pStyle w:val="30"/>
              <w:ind w:left="38"/>
              <w:jc w:val="center"/>
              <w:rPr>
                <w:kern w:val="2"/>
                <w:lang w:val="zh-CN"/>
              </w:rPr>
            </w:pPr>
            <w:r>
              <w:rPr>
                <w:rFonts w:hint="eastAsia"/>
                <w:kern w:val="2"/>
                <w:lang w:val="zh-CN"/>
              </w:rPr>
              <w:t>最高限价</w:t>
            </w:r>
          </w:p>
        </w:tc>
        <w:tc>
          <w:tcPr>
            <w:tcW w:w="7067" w:type="dxa"/>
            <w:vAlign w:val="center"/>
          </w:tcPr>
          <w:p w14:paraId="6E0EAB26">
            <w:pPr>
              <w:pStyle w:val="30"/>
              <w:jc w:val="both"/>
              <w:rPr>
                <w:b/>
                <w:kern w:val="2"/>
                <w:lang w:val="zh-CN"/>
              </w:rPr>
            </w:pPr>
            <w:r>
              <w:rPr>
                <w:rFonts w:hint="eastAsia"/>
                <w:b/>
                <w:kern w:val="2"/>
                <w:lang w:val="zh-CN"/>
              </w:rPr>
              <w:t>人民币</w:t>
            </w:r>
            <w:r>
              <w:rPr>
                <w:rFonts w:hint="eastAsia"/>
                <w:b/>
                <w:kern w:val="2"/>
                <w:u w:val="single"/>
                <w:lang w:val="en-US" w:eastAsia="zh-CN"/>
              </w:rPr>
              <w:t xml:space="preserve">  588708.14  </w:t>
            </w:r>
            <w:r>
              <w:rPr>
                <w:rFonts w:hint="eastAsia"/>
                <w:b/>
                <w:kern w:val="2"/>
                <w:lang w:val="zh-CN"/>
              </w:rPr>
              <w:t>元</w:t>
            </w:r>
          </w:p>
          <w:p w14:paraId="6786F17A">
            <w:pPr>
              <w:pStyle w:val="30"/>
              <w:ind w:left="38"/>
              <w:jc w:val="both"/>
              <w:rPr>
                <w:b/>
                <w:kern w:val="2"/>
                <w:lang w:val="zh-CN"/>
              </w:rPr>
            </w:pPr>
            <w:r>
              <w:rPr>
                <w:rFonts w:hint="eastAsia"/>
                <w:kern w:val="2"/>
                <w:sz w:val="21"/>
                <w:szCs w:val="21"/>
                <w:lang w:val="zh-CN"/>
              </w:rPr>
              <w:t>供应商投标报价高于最高限价的则其投标文件将按无效投标文件处理。</w:t>
            </w:r>
          </w:p>
        </w:tc>
      </w:tr>
      <w:tr w14:paraId="74C4D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4FA47477">
            <w:pPr>
              <w:snapToGrid w:val="0"/>
              <w:spacing w:after="200"/>
              <w:jc w:val="center"/>
              <w:rPr>
                <w:rFonts w:ascii="宋体" w:hAnsi="宋体"/>
                <w:sz w:val="28"/>
                <w:szCs w:val="28"/>
                <w:lang w:val="zh-CN"/>
              </w:rPr>
            </w:pPr>
            <w:r>
              <w:rPr>
                <w:rFonts w:ascii="宋体" w:hAnsi="宋体"/>
                <w:sz w:val="28"/>
                <w:szCs w:val="28"/>
                <w:lang w:val="zh-CN"/>
              </w:rPr>
              <w:t>3</w:t>
            </w:r>
          </w:p>
        </w:tc>
        <w:tc>
          <w:tcPr>
            <w:tcW w:w="1556" w:type="dxa"/>
            <w:vMerge w:val="restart"/>
            <w:vAlign w:val="center"/>
          </w:tcPr>
          <w:p w14:paraId="637B8235">
            <w:pPr>
              <w:pStyle w:val="30"/>
              <w:ind w:left="38"/>
              <w:jc w:val="center"/>
              <w:rPr>
                <w:color w:val="000000" w:themeColor="text1"/>
                <w:kern w:val="2"/>
                <w:lang w:val="zh-CN"/>
                <w14:textFill>
                  <w14:solidFill>
                    <w14:schemeClr w14:val="tx1"/>
                  </w14:solidFill>
                </w14:textFill>
              </w:rPr>
            </w:pPr>
            <w:r>
              <w:rPr>
                <w:rFonts w:hint="eastAsia"/>
                <w:color w:val="000000" w:themeColor="text1"/>
                <w:kern w:val="2"/>
                <w:lang w:val="zh-CN"/>
                <w14:textFill>
                  <w14:solidFill>
                    <w14:schemeClr w14:val="tx1"/>
                  </w14:solidFill>
                </w14:textFill>
              </w:rPr>
              <w:t>项目性质</w:t>
            </w:r>
          </w:p>
        </w:tc>
        <w:tc>
          <w:tcPr>
            <w:tcW w:w="7067" w:type="dxa"/>
            <w:vAlign w:val="center"/>
          </w:tcPr>
          <w:p w14:paraId="127ACEB5">
            <w:pPr>
              <w:pStyle w:val="30"/>
              <w:jc w:val="both"/>
              <w:rPr>
                <w:b/>
                <w:color w:val="000000" w:themeColor="text1"/>
                <w:kern w:val="2"/>
                <w:lang w:val="zh-CN"/>
                <w14:textFill>
                  <w14:solidFill>
                    <w14:schemeClr w14:val="tx1"/>
                  </w14:solidFill>
                </w14:textFill>
              </w:rPr>
            </w:pPr>
            <w:r>
              <w:rPr>
                <w:rFonts w:hint="eastAsia" w:ascii="仿宋" w:hAnsi="仿宋" w:eastAsia="仿宋" w:cs="仿宋"/>
                <w:b/>
                <w:color w:val="000000" w:themeColor="text1"/>
                <w:kern w:val="2"/>
                <w:lang w:val="zh-CN"/>
                <w14:textFill>
                  <w14:solidFill>
                    <w14:schemeClr w14:val="tx1"/>
                  </w14:solidFill>
                </w14:textFill>
              </w:rPr>
              <w:t>●</w:t>
            </w:r>
            <w:r>
              <w:rPr>
                <w:rFonts w:hint="eastAsia"/>
                <w:b/>
                <w:color w:val="000000" w:themeColor="text1"/>
                <w:kern w:val="2"/>
                <w:lang w:val="zh-CN"/>
                <w14:textFill>
                  <w14:solidFill>
                    <w14:schemeClr w14:val="tx1"/>
                  </w14:solidFill>
                </w14:textFill>
              </w:rPr>
              <w:t>专门面向中小企业采购</w:t>
            </w:r>
          </w:p>
          <w:p w14:paraId="083B7398">
            <w:pPr>
              <w:pStyle w:val="30"/>
              <w:ind w:left="38"/>
              <w:jc w:val="both"/>
              <w:rPr>
                <w:b/>
                <w:color w:val="000000" w:themeColor="text1"/>
                <w:kern w:val="2"/>
                <w:lang w:val="zh-CN"/>
                <w14:textFill>
                  <w14:solidFill>
                    <w14:schemeClr w14:val="tx1"/>
                  </w14:solidFill>
                </w14:textFill>
              </w:rPr>
            </w:pPr>
            <w:r>
              <w:rPr>
                <w:rFonts w:hint="eastAsia"/>
                <w:color w:val="000000" w:themeColor="text1"/>
                <w:kern w:val="2"/>
                <w:sz w:val="21"/>
                <w:szCs w:val="21"/>
                <w:lang w:val="zh-CN"/>
                <w14:textFill>
                  <w14:solidFill>
                    <w14:schemeClr w14:val="tx1"/>
                  </w14:solidFill>
                </w14:textFill>
              </w:rPr>
              <w:t>仅允许中小企业或小型、微型企业参与投标。</w:t>
            </w:r>
          </w:p>
        </w:tc>
      </w:tr>
      <w:tr w14:paraId="619E3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348C7C14">
            <w:pPr>
              <w:snapToGrid w:val="0"/>
              <w:spacing w:after="200"/>
              <w:ind w:left="142"/>
              <w:jc w:val="center"/>
              <w:rPr>
                <w:rFonts w:ascii="宋体" w:hAnsi="宋体"/>
                <w:b/>
                <w:sz w:val="28"/>
                <w:szCs w:val="28"/>
                <w:lang w:val="zh-CN"/>
              </w:rPr>
            </w:pPr>
          </w:p>
        </w:tc>
        <w:tc>
          <w:tcPr>
            <w:tcW w:w="1556" w:type="dxa"/>
            <w:vMerge w:val="continue"/>
            <w:vAlign w:val="center"/>
          </w:tcPr>
          <w:p w14:paraId="66A5B390">
            <w:pPr>
              <w:pStyle w:val="30"/>
              <w:ind w:left="96"/>
              <w:jc w:val="center"/>
              <w:rPr>
                <w:color w:val="000000" w:themeColor="text1"/>
                <w:kern w:val="2"/>
                <w:lang w:val="zh-CN"/>
                <w14:textFill>
                  <w14:solidFill>
                    <w14:schemeClr w14:val="tx1"/>
                  </w14:solidFill>
                </w14:textFill>
              </w:rPr>
            </w:pPr>
          </w:p>
        </w:tc>
        <w:tc>
          <w:tcPr>
            <w:tcW w:w="7067" w:type="dxa"/>
            <w:vAlign w:val="center"/>
          </w:tcPr>
          <w:p w14:paraId="02D47B65">
            <w:pPr>
              <w:rPr>
                <w:rFonts w:ascii="宋体" w:hAnsi="宋体" w:cs="宋体"/>
                <w:b/>
                <w:color w:val="000000" w:themeColor="text1"/>
                <w:sz w:val="24"/>
                <w:szCs w:val="24"/>
                <w:lang w:val="zh-CN"/>
                <w14:textFill>
                  <w14:solidFill>
                    <w14:schemeClr w14:val="tx1"/>
                  </w14:solidFill>
                </w14:textFill>
              </w:rPr>
            </w:pPr>
            <w:r>
              <w:rPr>
                <w:rFonts w:ascii="宋体" w:hAnsi="宋体" w:cs="宋体"/>
                <w:b/>
                <w:color w:val="000000" w:themeColor="text1"/>
                <w:sz w:val="24"/>
                <w:szCs w:val="24"/>
                <w:lang w:val="zh-CN"/>
                <w14:textFill>
                  <w14:solidFill>
                    <w14:schemeClr w14:val="tx1"/>
                  </w14:solidFill>
                </w14:textFill>
              </w:rPr>
              <w:t>○</w:t>
            </w:r>
            <w:r>
              <w:rPr>
                <w:rFonts w:hint="eastAsia" w:ascii="宋体" w:hAnsi="宋体" w:cs="宋体"/>
                <w:b/>
                <w:color w:val="000000" w:themeColor="text1"/>
                <w:sz w:val="24"/>
                <w:szCs w:val="24"/>
                <w:lang w:val="zh-CN"/>
                <w14:textFill>
                  <w14:solidFill>
                    <w14:schemeClr w14:val="tx1"/>
                  </w14:solidFill>
                </w14:textFill>
              </w:rPr>
              <w:t>非专门面向中小企业采购</w:t>
            </w:r>
          </w:p>
          <w:p w14:paraId="53D0D8A6">
            <w:pPr>
              <w:ind w:right="94" w:rightChars="45"/>
              <w:rPr>
                <w:rFonts w:ascii="宋体" w:hAnsi="宋体"/>
                <w:b/>
                <w:color w:val="000000" w:themeColor="text1"/>
                <w:szCs w:val="21"/>
                <w14:textFill>
                  <w14:solidFill>
                    <w14:schemeClr w14:val="tx1"/>
                  </w14:solidFill>
                </w14:textFill>
              </w:rPr>
            </w:pPr>
            <w:r>
              <w:rPr>
                <w:rFonts w:hint="eastAsia" w:ascii="宋体" w:hAnsi="宋体" w:cs="宋体"/>
                <w:bCs/>
                <w:color w:val="000000" w:themeColor="text1"/>
                <w:kern w:val="0"/>
                <w:szCs w:val="21"/>
                <w:lang w:val="zh-CN"/>
                <w14:textFill>
                  <w14:solidFill>
                    <w14:schemeClr w14:val="tx1"/>
                  </w14:solidFill>
                </w14:textFill>
              </w:rPr>
              <w:t>对符合《财政部关于进一步加大政府采购支持中小企业力度的通知》（财库〔2022〕19号）规定的小微企业（监狱企业视同小型、微型企业）的报价</w:t>
            </w:r>
            <w:r>
              <w:rPr>
                <w:rFonts w:hint="eastAsia" w:ascii="宋体" w:hAnsi="宋体" w:cs="宋体"/>
                <w:b/>
                <w:color w:val="000000" w:themeColor="text1"/>
                <w:kern w:val="0"/>
                <w:szCs w:val="21"/>
                <w:lang w:val="zh-CN"/>
                <w14:textFill>
                  <w14:solidFill>
                    <w14:schemeClr w14:val="tx1"/>
                  </w14:solidFill>
                </w14:textFill>
              </w:rPr>
              <w:t>给予___%（10%-20</w:t>
            </w:r>
            <w:r>
              <w:rPr>
                <w:rFonts w:ascii="宋体" w:hAnsi="宋体" w:cs="宋体"/>
                <w:b/>
                <w:color w:val="000000" w:themeColor="text1"/>
                <w:kern w:val="0"/>
                <w:szCs w:val="21"/>
                <w:lang w:val="zh-CN"/>
                <w14:textFill>
                  <w14:solidFill>
                    <w14:schemeClr w14:val="tx1"/>
                  </w14:solidFill>
                </w14:textFill>
              </w:rPr>
              <w:t>%</w:t>
            </w:r>
            <w:r>
              <w:rPr>
                <w:rFonts w:hint="eastAsia" w:ascii="宋体" w:hAnsi="宋体" w:cs="宋体"/>
                <w:b/>
                <w:color w:val="000000" w:themeColor="text1"/>
                <w:kern w:val="0"/>
                <w:szCs w:val="21"/>
                <w:lang w:val="zh-CN"/>
                <w14:textFill>
                  <w14:solidFill>
                    <w14:schemeClr w14:val="tx1"/>
                  </w14:solidFill>
                </w14:textFill>
              </w:rPr>
              <w:t>）的扣除</w:t>
            </w:r>
            <w:r>
              <w:rPr>
                <w:rFonts w:hint="eastAsia" w:ascii="宋体" w:hAnsi="宋体" w:cs="宋体"/>
                <w:bCs/>
                <w:color w:val="000000" w:themeColor="text1"/>
                <w:kern w:val="0"/>
                <w:szCs w:val="21"/>
                <w:lang w:val="zh-CN"/>
                <w14:textFill>
                  <w14:solidFill>
                    <w14:schemeClr w14:val="tx1"/>
                  </w14:solidFill>
                </w14:textFill>
              </w:rPr>
              <w:t>，用扣除后的价格参加评审。</w:t>
            </w:r>
          </w:p>
        </w:tc>
      </w:tr>
      <w:tr w14:paraId="510E6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03819F6E">
            <w:pPr>
              <w:snapToGrid w:val="0"/>
              <w:spacing w:after="200"/>
              <w:jc w:val="center"/>
              <w:rPr>
                <w:rFonts w:ascii="宋体" w:hAnsi="宋体"/>
                <w:sz w:val="24"/>
              </w:rPr>
            </w:pPr>
            <w:r>
              <w:rPr>
                <w:rFonts w:ascii="宋体" w:hAnsi="宋体"/>
                <w:sz w:val="24"/>
              </w:rPr>
              <w:t>4</w:t>
            </w:r>
          </w:p>
        </w:tc>
        <w:tc>
          <w:tcPr>
            <w:tcW w:w="1556" w:type="dxa"/>
            <w:vAlign w:val="center"/>
          </w:tcPr>
          <w:p w14:paraId="747CA9D9">
            <w:pPr>
              <w:pStyle w:val="30"/>
              <w:ind w:left="96"/>
              <w:jc w:val="center"/>
              <w:rPr>
                <w:kern w:val="2"/>
                <w:lang w:val="zh-CN"/>
              </w:rPr>
            </w:pPr>
            <w:r>
              <w:rPr>
                <w:kern w:val="2"/>
                <w:lang w:val="zh-CN"/>
              </w:rPr>
              <w:t>对供应商的</w:t>
            </w:r>
            <w:r>
              <w:rPr>
                <w:kern w:val="2"/>
                <w:lang w:val="zh-CN"/>
              </w:rPr>
              <w:br w:type="textWrapping"/>
            </w:r>
            <w:r>
              <w:rPr>
                <w:kern w:val="2"/>
                <w:lang w:val="zh-CN"/>
              </w:rPr>
              <w:t>资格要求</w:t>
            </w:r>
          </w:p>
        </w:tc>
        <w:tc>
          <w:tcPr>
            <w:tcW w:w="7067" w:type="dxa"/>
            <w:vAlign w:val="center"/>
          </w:tcPr>
          <w:p w14:paraId="00A90CE4">
            <w:pPr>
              <w:pStyle w:val="30"/>
              <w:jc w:val="both"/>
              <w:rPr>
                <w:rFonts w:hint="eastAsia"/>
                <w:kern w:val="2"/>
                <w:sz w:val="21"/>
                <w:szCs w:val="21"/>
                <w:lang w:val="zh-CN"/>
              </w:rPr>
            </w:pPr>
            <w:r>
              <w:rPr>
                <w:rFonts w:hint="eastAsia"/>
                <w:kern w:val="2"/>
                <w:sz w:val="21"/>
                <w:szCs w:val="21"/>
                <w:lang w:val="en-US" w:eastAsia="zh-CN"/>
              </w:rPr>
              <w:t>1、</w:t>
            </w:r>
            <w:r>
              <w:rPr>
                <w:rFonts w:hint="eastAsia"/>
                <w:kern w:val="2"/>
                <w:sz w:val="21"/>
                <w:szCs w:val="21"/>
                <w:lang w:val="zh-CN"/>
              </w:rPr>
              <w:t>具有独立承担民事责任能力的企业法人或其他组织或注册地在中国境内的外资企业，提供合法有效的（三证合一）统一社会信用代码的营业执照等证明文件（复印件加盖供应商公章或提供网上可查询的网址信息）；</w:t>
            </w:r>
          </w:p>
          <w:p w14:paraId="3599CAB1">
            <w:pPr>
              <w:pStyle w:val="30"/>
              <w:jc w:val="both"/>
              <w:rPr>
                <w:rFonts w:hint="eastAsia"/>
                <w:kern w:val="2"/>
                <w:sz w:val="21"/>
                <w:szCs w:val="21"/>
                <w:lang w:val="zh-CN"/>
              </w:rPr>
            </w:pPr>
            <w:r>
              <w:rPr>
                <w:rFonts w:hint="eastAsia"/>
                <w:kern w:val="2"/>
                <w:sz w:val="21"/>
                <w:szCs w:val="21"/>
                <w:lang w:val="en-US" w:eastAsia="zh-CN"/>
              </w:rPr>
              <w:t>2、</w:t>
            </w:r>
            <w:r>
              <w:rPr>
                <w:rFonts w:hint="eastAsia"/>
                <w:kern w:val="2"/>
                <w:sz w:val="21"/>
                <w:szCs w:val="21"/>
                <w:lang w:val="zh-CN"/>
              </w:rPr>
              <w:t>法定代表人直接磋商须提交其身份证；法定代表人授权代表参加磋商的，须出具授权书及被授权人身份证；</w:t>
            </w:r>
          </w:p>
          <w:p w14:paraId="6D247A86">
            <w:pPr>
              <w:pStyle w:val="30"/>
              <w:jc w:val="both"/>
              <w:rPr>
                <w:rFonts w:hint="eastAsia"/>
                <w:kern w:val="2"/>
                <w:sz w:val="21"/>
                <w:szCs w:val="21"/>
                <w:lang w:val="zh-CN"/>
              </w:rPr>
            </w:pPr>
            <w:r>
              <w:rPr>
                <w:rFonts w:hint="eastAsia"/>
                <w:kern w:val="2"/>
                <w:sz w:val="21"/>
                <w:szCs w:val="21"/>
                <w:lang w:val="en-US" w:eastAsia="zh-CN"/>
              </w:rPr>
              <w:t>3、</w:t>
            </w:r>
            <w:r>
              <w:rPr>
                <w:rFonts w:hint="eastAsia"/>
                <w:kern w:val="2"/>
                <w:sz w:val="21"/>
                <w:szCs w:val="21"/>
                <w:lang w:val="zh-CN"/>
              </w:rPr>
              <w:t>供应商须提供2023年度经会计师事务所审计的审计报告或财务报表（新成立企业可从成立当年开始提供相对应的财务报表）或其磋商前三个月内基本存款账户开户银行出具的资信证明；</w:t>
            </w:r>
          </w:p>
          <w:p w14:paraId="1F180964">
            <w:pPr>
              <w:pStyle w:val="30"/>
              <w:jc w:val="both"/>
              <w:rPr>
                <w:rFonts w:hint="eastAsia"/>
                <w:kern w:val="2"/>
                <w:sz w:val="21"/>
                <w:szCs w:val="21"/>
                <w:lang w:val="zh-CN"/>
              </w:rPr>
            </w:pPr>
            <w:r>
              <w:rPr>
                <w:rFonts w:hint="eastAsia"/>
                <w:kern w:val="2"/>
                <w:sz w:val="21"/>
                <w:szCs w:val="21"/>
                <w:lang w:val="en-US" w:eastAsia="zh-CN"/>
              </w:rPr>
              <w:t>4、</w:t>
            </w:r>
            <w:r>
              <w:rPr>
                <w:rFonts w:hint="eastAsia"/>
                <w:kern w:val="2"/>
                <w:sz w:val="21"/>
                <w:szCs w:val="21"/>
                <w:lang w:val="zh-CN"/>
              </w:rPr>
              <w:t>供应商须提供投标截止时间前六个月内任意一个月的缴税证明（复印件加盖供应商公章或提供网上可查询的网址信息）（注：依法免税或零申报的供应商须提供相关文件证明；若为新成立企业可提供相应月度的缴税证明）；</w:t>
            </w:r>
          </w:p>
          <w:p w14:paraId="01B35801">
            <w:pPr>
              <w:pStyle w:val="30"/>
              <w:jc w:val="both"/>
              <w:rPr>
                <w:rFonts w:hint="eastAsia"/>
                <w:kern w:val="2"/>
                <w:sz w:val="21"/>
                <w:szCs w:val="21"/>
                <w:lang w:val="zh-CN"/>
              </w:rPr>
            </w:pPr>
            <w:r>
              <w:rPr>
                <w:rFonts w:hint="eastAsia"/>
                <w:kern w:val="2"/>
                <w:sz w:val="21"/>
                <w:szCs w:val="21"/>
                <w:lang w:val="en-US" w:eastAsia="zh-CN"/>
              </w:rPr>
              <w:t>5、</w:t>
            </w:r>
            <w:r>
              <w:rPr>
                <w:rFonts w:hint="eastAsia"/>
                <w:kern w:val="2"/>
                <w:sz w:val="21"/>
                <w:szCs w:val="21"/>
                <w:lang w:val="zh-CN"/>
              </w:rPr>
              <w:t>提供磋商截止时间前六个月内任意一个月的社会保险缴纳证明（复印件加盖供应商公章或提供网上可查询的网址信息）（注：依法不需要缴纳社会保障资金的供应商应提供相关文件证明；若为新成立企业可提供相应月度的社会保险缴纳证明）；</w:t>
            </w:r>
          </w:p>
          <w:p w14:paraId="3D2403EB">
            <w:pPr>
              <w:pStyle w:val="30"/>
              <w:jc w:val="both"/>
              <w:rPr>
                <w:rFonts w:hint="eastAsia"/>
                <w:kern w:val="2"/>
                <w:sz w:val="21"/>
                <w:szCs w:val="21"/>
                <w:lang w:val="zh-CN"/>
              </w:rPr>
            </w:pPr>
            <w:r>
              <w:rPr>
                <w:rFonts w:hint="eastAsia"/>
                <w:kern w:val="2"/>
                <w:sz w:val="21"/>
                <w:szCs w:val="21"/>
                <w:lang w:val="en-US" w:eastAsia="zh-CN"/>
              </w:rPr>
              <w:t>6</w:t>
            </w:r>
            <w:r>
              <w:rPr>
                <w:rFonts w:hint="eastAsia"/>
                <w:kern w:val="2"/>
                <w:sz w:val="21"/>
                <w:szCs w:val="21"/>
                <w:lang w:val="zh-CN"/>
              </w:rPr>
              <w:t>、供应商须提供具有履行合同所必需的设备和专业技术能力的承诺函(加盖供应商公章)；</w:t>
            </w:r>
          </w:p>
          <w:p w14:paraId="59B6C82A">
            <w:pPr>
              <w:pStyle w:val="30"/>
              <w:jc w:val="both"/>
              <w:rPr>
                <w:rFonts w:hint="eastAsia"/>
                <w:kern w:val="2"/>
                <w:sz w:val="21"/>
                <w:szCs w:val="21"/>
                <w:lang w:val="zh-CN"/>
              </w:rPr>
            </w:pPr>
            <w:r>
              <w:rPr>
                <w:rFonts w:hint="eastAsia"/>
                <w:kern w:val="2"/>
                <w:sz w:val="21"/>
                <w:szCs w:val="21"/>
                <w:lang w:val="en-US" w:eastAsia="zh-CN"/>
              </w:rPr>
              <w:t>7</w:t>
            </w:r>
            <w:r>
              <w:rPr>
                <w:rFonts w:hint="eastAsia"/>
                <w:kern w:val="2"/>
                <w:sz w:val="21"/>
                <w:szCs w:val="21"/>
                <w:lang w:val="zh-CN"/>
              </w:rPr>
              <w:t>、供应商应具备良好的商业信誉，提供参加政府采购活动前3年内在经营活动中没有重大违法记录的书面声明；</w:t>
            </w:r>
          </w:p>
          <w:p w14:paraId="2CA6BB19">
            <w:pPr>
              <w:pStyle w:val="30"/>
              <w:jc w:val="both"/>
              <w:rPr>
                <w:rFonts w:hint="eastAsia"/>
                <w:kern w:val="2"/>
                <w:sz w:val="21"/>
                <w:szCs w:val="21"/>
                <w:lang w:val="zh-CN"/>
              </w:rPr>
            </w:pPr>
            <w:r>
              <w:rPr>
                <w:rFonts w:hint="eastAsia"/>
                <w:kern w:val="2"/>
                <w:sz w:val="21"/>
                <w:szCs w:val="21"/>
                <w:lang w:val="en-US" w:eastAsia="zh-CN"/>
              </w:rPr>
              <w:t>8</w:t>
            </w:r>
            <w:r>
              <w:rPr>
                <w:rFonts w:hint="eastAsia"/>
                <w:kern w:val="2"/>
                <w:sz w:val="21"/>
                <w:szCs w:val="21"/>
                <w:lang w:val="zh-CN"/>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p w14:paraId="5B70F6E8">
            <w:pPr>
              <w:pStyle w:val="30"/>
              <w:jc w:val="both"/>
              <w:rPr>
                <w:rFonts w:hint="eastAsia"/>
                <w:kern w:val="2"/>
                <w:sz w:val="21"/>
                <w:szCs w:val="21"/>
                <w:lang w:val="zh-CN"/>
              </w:rPr>
            </w:pPr>
            <w:r>
              <w:rPr>
                <w:rFonts w:hint="eastAsia"/>
                <w:kern w:val="2"/>
                <w:sz w:val="21"/>
                <w:szCs w:val="21"/>
                <w:lang w:val="en-US" w:eastAsia="zh-CN"/>
              </w:rPr>
              <w:t>9</w:t>
            </w:r>
            <w:r>
              <w:rPr>
                <w:rFonts w:hint="eastAsia"/>
                <w:kern w:val="2"/>
                <w:sz w:val="21"/>
                <w:szCs w:val="21"/>
                <w:lang w:val="zh-CN"/>
              </w:rPr>
              <w:t>、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p w14:paraId="2D30F79E">
            <w:pPr>
              <w:pStyle w:val="30"/>
              <w:jc w:val="both"/>
              <w:rPr>
                <w:kern w:val="2"/>
                <w:lang w:val="zh-CN"/>
              </w:rPr>
            </w:pPr>
            <w:r>
              <w:rPr>
                <w:rFonts w:hint="eastAsia"/>
                <w:kern w:val="2"/>
                <w:sz w:val="21"/>
                <w:szCs w:val="21"/>
                <w:lang w:val="zh-CN"/>
              </w:rPr>
              <w:t>根据《政府采购促进中小企业发展管理办法》（财库〔2020〕46号）的规定,不得以企业注册资本、资产总额、营业收入、从业人员、利润、纳税额等规模条件和财务指标作为供应商的资格要求或者评审因素，不得在企业股权结构、经营年限等方面对中小企业实行差别待遇或者歧视待遇。</w:t>
            </w:r>
          </w:p>
        </w:tc>
      </w:tr>
      <w:tr w14:paraId="1D9DC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4E883262">
            <w:pPr>
              <w:snapToGrid w:val="0"/>
              <w:spacing w:after="200"/>
              <w:jc w:val="center"/>
              <w:rPr>
                <w:rFonts w:ascii="宋体" w:hAnsi="宋体"/>
                <w:sz w:val="24"/>
              </w:rPr>
            </w:pPr>
            <w:r>
              <w:rPr>
                <w:rFonts w:ascii="宋体" w:hAnsi="宋体"/>
                <w:sz w:val="24"/>
              </w:rPr>
              <w:t>5</w:t>
            </w:r>
          </w:p>
        </w:tc>
        <w:tc>
          <w:tcPr>
            <w:tcW w:w="1556" w:type="dxa"/>
            <w:vMerge w:val="restart"/>
            <w:vAlign w:val="center"/>
          </w:tcPr>
          <w:p w14:paraId="44C2F4BB">
            <w:pPr>
              <w:pStyle w:val="30"/>
              <w:ind w:left="96"/>
              <w:jc w:val="center"/>
              <w:rPr>
                <w:kern w:val="2"/>
                <w:lang w:val="zh-CN"/>
              </w:rPr>
            </w:pPr>
            <w:r>
              <w:rPr>
                <w:kern w:val="2"/>
                <w:lang w:val="zh-CN"/>
              </w:rPr>
              <w:t>是否</w:t>
            </w:r>
            <w:r>
              <w:rPr>
                <w:rFonts w:hint="eastAsia"/>
                <w:kern w:val="2"/>
                <w:lang w:val="zh-CN"/>
              </w:rPr>
              <w:t>接受</w:t>
            </w:r>
            <w:r>
              <w:rPr>
                <w:kern w:val="2"/>
                <w:lang w:val="zh-CN"/>
              </w:rPr>
              <w:br w:type="textWrapping"/>
            </w:r>
            <w:r>
              <w:rPr>
                <w:kern w:val="2"/>
                <w:lang w:val="zh-CN"/>
              </w:rPr>
              <w:t>联合体投标</w:t>
            </w:r>
          </w:p>
        </w:tc>
        <w:tc>
          <w:tcPr>
            <w:tcW w:w="7067" w:type="dxa"/>
            <w:vAlign w:val="center"/>
          </w:tcPr>
          <w:p w14:paraId="1A0025DD">
            <w:pPr>
              <w:pStyle w:val="30"/>
              <w:jc w:val="both"/>
              <w:rPr>
                <w:b/>
                <w:color w:val="000000" w:themeColor="text1"/>
                <w:kern w:val="2"/>
                <w:lang w:val="zh-CN"/>
                <w14:textFill>
                  <w14:solidFill>
                    <w14:schemeClr w14:val="tx1"/>
                  </w14:solidFill>
                </w14:textFill>
              </w:rPr>
            </w:pPr>
            <w:r>
              <w:rPr>
                <w:rFonts w:hint="eastAsia"/>
                <w:b/>
                <w:color w:val="000000" w:themeColor="text1"/>
                <w:kern w:val="2"/>
                <w:lang w:val="zh-CN"/>
                <w14:textFill>
                  <w14:solidFill>
                    <w14:schemeClr w14:val="tx1"/>
                  </w14:solidFill>
                </w14:textFill>
              </w:rPr>
              <w:t>○接受</w:t>
            </w:r>
          </w:p>
          <w:p w14:paraId="0908CDED">
            <w:pPr>
              <w:pStyle w:val="30"/>
              <w:jc w:val="both"/>
              <w:rPr>
                <w:b/>
                <w:kern w:val="2"/>
                <w:lang w:val="zh-CN"/>
              </w:rPr>
            </w:pPr>
            <w:r>
              <w:rPr>
                <w:rFonts w:hint="eastAsia"/>
                <w:color w:val="000000" w:themeColor="text1"/>
                <w:kern w:val="2"/>
                <w:sz w:val="21"/>
                <w:szCs w:val="21"/>
                <w:lang w:val="zh-CN"/>
                <w14:textFill>
                  <w14:solidFill>
                    <w14:schemeClr w14:val="tx1"/>
                  </w14:solidFill>
                </w14:textFill>
              </w:rPr>
              <w:t>对于联合体协议或者分包意向协议约定小微企业的合同份额占到合同总金额30%以上的，对联合体或者大中型企业的报价</w:t>
            </w:r>
            <w:r>
              <w:rPr>
                <w:rFonts w:hint="eastAsia"/>
                <w:b/>
                <w:color w:val="000000" w:themeColor="text1"/>
                <w:kern w:val="2"/>
                <w:sz w:val="21"/>
                <w:szCs w:val="21"/>
                <w:lang w:val="zh-CN"/>
                <w14:textFill>
                  <w14:solidFill>
                    <w14:schemeClr w14:val="tx1"/>
                  </w14:solidFill>
                </w14:textFill>
              </w:rPr>
              <w:t>给予___%（</w:t>
            </w:r>
            <w:r>
              <w:rPr>
                <w:b/>
                <w:color w:val="000000" w:themeColor="text1"/>
                <w:kern w:val="2"/>
                <w:sz w:val="21"/>
                <w:szCs w:val="21"/>
                <w:lang w:val="zh-CN"/>
                <w14:textFill>
                  <w14:solidFill>
                    <w14:schemeClr w14:val="tx1"/>
                  </w14:solidFill>
                </w14:textFill>
              </w:rPr>
              <w:t>4%</w:t>
            </w:r>
            <w:r>
              <w:rPr>
                <w:rFonts w:hint="eastAsia"/>
                <w:b/>
                <w:color w:val="000000" w:themeColor="text1"/>
                <w:kern w:val="2"/>
                <w:sz w:val="21"/>
                <w:szCs w:val="21"/>
                <w:lang w:val="zh-CN"/>
                <w14:textFill>
                  <w14:solidFill>
                    <w14:schemeClr w14:val="tx1"/>
                  </w14:solidFill>
                </w14:textFill>
              </w:rPr>
              <w:t>—</w:t>
            </w:r>
            <w:r>
              <w:rPr>
                <w:b/>
                <w:color w:val="000000" w:themeColor="text1"/>
                <w:kern w:val="2"/>
                <w:sz w:val="21"/>
                <w:szCs w:val="21"/>
                <w:lang w:val="zh-CN"/>
                <w14:textFill>
                  <w14:solidFill>
                    <w14:schemeClr w14:val="tx1"/>
                  </w14:solidFill>
                </w14:textFill>
              </w:rPr>
              <w:t>6%</w:t>
            </w:r>
            <w:r>
              <w:rPr>
                <w:rFonts w:hint="eastAsia"/>
                <w:b/>
                <w:color w:val="000000" w:themeColor="text1"/>
                <w:kern w:val="2"/>
                <w:sz w:val="21"/>
                <w:szCs w:val="21"/>
                <w:lang w:val="zh-CN"/>
                <w14:textFill>
                  <w14:solidFill>
                    <w14:schemeClr w14:val="tx1"/>
                  </w14:solidFill>
                </w14:textFill>
              </w:rPr>
              <w:t>）的扣除</w:t>
            </w:r>
            <w:r>
              <w:rPr>
                <w:rFonts w:hint="eastAsia"/>
                <w:color w:val="000000" w:themeColor="text1"/>
                <w:kern w:val="2"/>
                <w:sz w:val="21"/>
                <w:szCs w:val="21"/>
                <w:lang w:val="zh-CN"/>
                <w14:textFill>
                  <w14:solidFill>
                    <w14:schemeClr w14:val="tx1"/>
                  </w14:solidFill>
                </w14:textFill>
              </w:rPr>
              <w:t>，用扣除后的报价参加评审。</w:t>
            </w:r>
          </w:p>
        </w:tc>
      </w:tr>
      <w:tr w14:paraId="40DE6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5B31AE61">
            <w:pPr>
              <w:snapToGrid w:val="0"/>
              <w:spacing w:after="200"/>
              <w:ind w:left="142"/>
              <w:jc w:val="center"/>
              <w:rPr>
                <w:rFonts w:ascii="宋体" w:hAnsi="宋体"/>
                <w:sz w:val="24"/>
              </w:rPr>
            </w:pPr>
          </w:p>
        </w:tc>
        <w:tc>
          <w:tcPr>
            <w:tcW w:w="1556" w:type="dxa"/>
            <w:vMerge w:val="continue"/>
            <w:vAlign w:val="center"/>
          </w:tcPr>
          <w:p w14:paraId="23ADA1EA">
            <w:pPr>
              <w:pStyle w:val="30"/>
              <w:ind w:left="96"/>
              <w:jc w:val="center"/>
              <w:rPr>
                <w:kern w:val="2"/>
                <w:lang w:val="zh-CN"/>
              </w:rPr>
            </w:pPr>
          </w:p>
        </w:tc>
        <w:tc>
          <w:tcPr>
            <w:tcW w:w="7067" w:type="dxa"/>
            <w:vAlign w:val="center"/>
          </w:tcPr>
          <w:p w14:paraId="4E315A5C">
            <w:pPr>
              <w:pStyle w:val="30"/>
              <w:jc w:val="both"/>
              <w:rPr>
                <w:b/>
                <w:kern w:val="2"/>
                <w:lang w:val="zh-CN"/>
              </w:rPr>
            </w:pPr>
            <w:r>
              <w:rPr>
                <w:rFonts w:hint="eastAsia" w:ascii="仿宋" w:hAnsi="仿宋" w:eastAsia="仿宋" w:cs="仿宋"/>
                <w:b/>
                <w:kern w:val="2"/>
                <w:lang w:val="zh-CN"/>
              </w:rPr>
              <w:t>●</w:t>
            </w:r>
            <w:r>
              <w:rPr>
                <w:rFonts w:hint="eastAsia"/>
                <w:b/>
                <w:kern w:val="2"/>
                <w:lang w:val="zh-CN"/>
              </w:rPr>
              <w:t>不接受</w:t>
            </w:r>
          </w:p>
        </w:tc>
      </w:tr>
      <w:tr w14:paraId="64020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832" w:hRule="atLeast"/>
          <w:jc w:val="center"/>
        </w:trPr>
        <w:tc>
          <w:tcPr>
            <w:tcW w:w="689" w:type="dxa"/>
            <w:vAlign w:val="center"/>
          </w:tcPr>
          <w:p w14:paraId="757C9A8D">
            <w:pPr>
              <w:snapToGrid w:val="0"/>
              <w:spacing w:after="200"/>
              <w:jc w:val="center"/>
              <w:rPr>
                <w:rFonts w:ascii="宋体" w:hAnsi="宋体"/>
                <w:sz w:val="24"/>
              </w:rPr>
            </w:pPr>
            <w:r>
              <w:rPr>
                <w:rFonts w:ascii="宋体" w:hAnsi="宋体"/>
                <w:sz w:val="24"/>
              </w:rPr>
              <w:t>6</w:t>
            </w:r>
          </w:p>
        </w:tc>
        <w:tc>
          <w:tcPr>
            <w:tcW w:w="1556" w:type="dxa"/>
            <w:vAlign w:val="center"/>
          </w:tcPr>
          <w:p w14:paraId="473CB06E">
            <w:pPr>
              <w:pStyle w:val="30"/>
              <w:ind w:left="96"/>
              <w:jc w:val="center"/>
              <w:rPr>
                <w:rFonts w:hint="eastAsia" w:ascii="宋体" w:hAnsi="宋体" w:eastAsia="宋体" w:cs="宋体"/>
                <w:color w:val="000000" w:themeColor="text1"/>
                <w:kern w:val="2"/>
                <w:sz w:val="21"/>
                <w:szCs w:val="21"/>
                <w:lang w:val="zh-CN" w:eastAsia="zh-CN" w:bidi="ar-SA"/>
                <w14:textFill>
                  <w14:solidFill>
                    <w14:schemeClr w14:val="tx1"/>
                  </w14:solidFill>
                </w14:textFill>
              </w:rPr>
            </w:pPr>
            <w:r>
              <w:rPr>
                <w:rFonts w:hint="eastAsia" w:ascii="宋体" w:hAnsi="宋体" w:eastAsia="宋体" w:cs="宋体"/>
                <w:kern w:val="2"/>
                <w:lang w:val="zh-CN" w:eastAsia="zh-CN"/>
              </w:rPr>
              <w:t>履约保证金</w:t>
            </w:r>
          </w:p>
        </w:tc>
        <w:tc>
          <w:tcPr>
            <w:tcW w:w="7067" w:type="dxa"/>
            <w:vAlign w:val="center"/>
          </w:tcPr>
          <w:p w14:paraId="0CF1AEEF">
            <w:pPr>
              <w:ind w:right="94" w:rightChars="45"/>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本项目不收取</w:t>
            </w:r>
            <w:r>
              <w:rPr>
                <w:rFonts w:hint="eastAsia" w:ascii="宋体" w:hAnsi="宋体" w:eastAsia="宋体" w:cs="宋体"/>
                <w:color w:val="000000" w:themeColor="text1"/>
                <w:kern w:val="2"/>
                <w:sz w:val="21"/>
                <w:szCs w:val="21"/>
                <w:lang w:val="zh-CN" w:eastAsia="zh-CN" w:bidi="ar-SA"/>
                <w14:textFill>
                  <w14:solidFill>
                    <w14:schemeClr w14:val="tx1"/>
                  </w14:solidFill>
                </w14:textFill>
              </w:rPr>
              <w:t>履约保证金。</w:t>
            </w:r>
          </w:p>
        </w:tc>
      </w:tr>
      <w:tr w14:paraId="11E64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65426C4E">
            <w:pPr>
              <w:snapToGrid w:val="0"/>
              <w:spacing w:after="200"/>
              <w:jc w:val="center"/>
              <w:rPr>
                <w:rFonts w:ascii="宋体" w:hAnsi="宋体"/>
                <w:sz w:val="24"/>
              </w:rPr>
            </w:pPr>
            <w:r>
              <w:rPr>
                <w:rFonts w:ascii="宋体" w:hAnsi="宋体"/>
                <w:sz w:val="24"/>
              </w:rPr>
              <w:t>7</w:t>
            </w:r>
          </w:p>
        </w:tc>
        <w:tc>
          <w:tcPr>
            <w:tcW w:w="1556" w:type="dxa"/>
            <w:vAlign w:val="center"/>
          </w:tcPr>
          <w:p w14:paraId="0C6EF40A">
            <w:pPr>
              <w:pStyle w:val="30"/>
              <w:ind w:left="96"/>
              <w:jc w:val="center"/>
              <w:rPr>
                <w:kern w:val="2"/>
                <w:lang w:val="zh-CN"/>
              </w:rPr>
            </w:pPr>
            <w:r>
              <w:rPr>
                <w:kern w:val="2"/>
                <w:lang w:val="zh-CN"/>
              </w:rPr>
              <w:t>集中答疑</w:t>
            </w:r>
          </w:p>
        </w:tc>
        <w:tc>
          <w:tcPr>
            <w:tcW w:w="7067" w:type="dxa"/>
            <w:vAlign w:val="center"/>
          </w:tcPr>
          <w:p w14:paraId="33395682">
            <w:pPr>
              <w:ind w:right="94" w:rightChars="45"/>
              <w:rPr>
                <w:rFonts w:ascii="宋体" w:hAnsi="宋体"/>
                <w:b/>
                <w:sz w:val="24"/>
              </w:rPr>
            </w:pPr>
            <w:r>
              <w:rPr>
                <w:rFonts w:ascii="宋体" w:hAnsi="宋体"/>
                <w:b/>
                <w:sz w:val="24"/>
              </w:rPr>
              <w:t>○组织，答疑地点为：</w:t>
            </w:r>
            <w:r>
              <w:rPr>
                <w:rFonts w:hint="eastAsia" w:ascii="宋体" w:hAnsi="宋体"/>
                <w:b/>
                <w:sz w:val="24"/>
              </w:rPr>
              <w:t>_______________________</w:t>
            </w:r>
          </w:p>
          <w:p w14:paraId="172A0DFA">
            <w:pPr>
              <w:ind w:right="94" w:rightChars="45"/>
              <w:rPr>
                <w:rFonts w:ascii="宋体" w:hAnsi="宋体"/>
                <w:b/>
                <w:sz w:val="24"/>
              </w:rPr>
            </w:pPr>
            <w:r>
              <w:rPr>
                <w:rFonts w:hint="eastAsia" w:ascii="仿宋" w:hAnsi="仿宋" w:eastAsia="仿宋" w:cs="仿宋"/>
                <w:b/>
                <w:kern w:val="2"/>
                <w:lang w:val="zh-CN"/>
              </w:rPr>
              <w:t>●</w:t>
            </w:r>
            <w:r>
              <w:rPr>
                <w:rFonts w:ascii="宋体" w:hAnsi="宋体"/>
                <w:b/>
                <w:sz w:val="24"/>
              </w:rPr>
              <w:t>不组织</w:t>
            </w:r>
          </w:p>
        </w:tc>
      </w:tr>
      <w:tr w14:paraId="7A487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226CFD62">
            <w:pPr>
              <w:snapToGrid w:val="0"/>
              <w:spacing w:after="200"/>
              <w:jc w:val="center"/>
              <w:rPr>
                <w:rFonts w:ascii="宋体" w:hAnsi="宋体"/>
                <w:sz w:val="24"/>
              </w:rPr>
            </w:pPr>
            <w:r>
              <w:rPr>
                <w:rFonts w:ascii="宋体" w:hAnsi="宋体"/>
                <w:sz w:val="24"/>
              </w:rPr>
              <w:t>8</w:t>
            </w:r>
          </w:p>
        </w:tc>
        <w:tc>
          <w:tcPr>
            <w:tcW w:w="1556" w:type="dxa"/>
            <w:vAlign w:val="center"/>
          </w:tcPr>
          <w:p w14:paraId="3C0AD8EE">
            <w:pPr>
              <w:pStyle w:val="30"/>
              <w:ind w:left="96"/>
              <w:jc w:val="center"/>
              <w:rPr>
                <w:kern w:val="2"/>
                <w:lang w:val="zh-CN"/>
              </w:rPr>
            </w:pPr>
            <w:r>
              <w:rPr>
                <w:kern w:val="2"/>
                <w:lang w:val="zh-CN"/>
              </w:rPr>
              <w:t>价格分比重</w:t>
            </w:r>
          </w:p>
        </w:tc>
        <w:tc>
          <w:tcPr>
            <w:tcW w:w="7067" w:type="dxa"/>
            <w:vAlign w:val="center"/>
          </w:tcPr>
          <w:p w14:paraId="0F380C5B">
            <w:pPr>
              <w:widowControl/>
              <w:rPr>
                <w:rFonts w:ascii="宋体" w:hAnsi="宋体" w:cs="宋体"/>
                <w:b/>
                <w:kern w:val="0"/>
                <w:sz w:val="24"/>
                <w:szCs w:val="24"/>
                <w:lang w:val="zh-CN"/>
              </w:rPr>
            </w:pPr>
            <w:r>
              <w:rPr>
                <w:rFonts w:ascii="宋体" w:hAnsi="宋体" w:cs="宋体"/>
                <w:b/>
                <w:kern w:val="0"/>
                <w:sz w:val="24"/>
                <w:szCs w:val="24"/>
                <w:lang w:val="zh-CN"/>
              </w:rPr>
              <w:t>占总分值的</w:t>
            </w:r>
            <w:r>
              <w:rPr>
                <w:rFonts w:hint="eastAsia" w:ascii="宋体" w:hAnsi="宋体" w:cs="宋体"/>
                <w:b/>
                <w:kern w:val="0"/>
                <w:sz w:val="24"/>
                <w:szCs w:val="24"/>
                <w:u w:val="single"/>
                <w:lang w:val="en-US" w:eastAsia="zh-CN"/>
              </w:rPr>
              <w:t xml:space="preserve">  10  </w:t>
            </w:r>
            <w:r>
              <w:rPr>
                <w:rFonts w:hint="eastAsia" w:ascii="宋体" w:hAnsi="宋体" w:cs="宋体"/>
                <w:b/>
                <w:kern w:val="0"/>
                <w:sz w:val="24"/>
                <w:szCs w:val="24"/>
                <w:lang w:val="zh-CN"/>
              </w:rPr>
              <w:t>%</w:t>
            </w:r>
          </w:p>
          <w:p w14:paraId="75CFAB5E">
            <w:pPr>
              <w:widowControl/>
              <w:rPr>
                <w:rFonts w:ascii="宋体" w:hAnsi="宋体" w:cs="宋体"/>
                <w:kern w:val="0"/>
                <w:szCs w:val="21"/>
                <w:lang w:val="zh-CN"/>
              </w:rPr>
            </w:pPr>
            <w:r>
              <w:rPr>
                <w:rFonts w:hint="eastAsia" w:ascii="宋体" w:hAnsi="宋体" w:cs="宋体"/>
                <w:kern w:val="0"/>
                <w:szCs w:val="21"/>
                <w:lang w:val="zh-CN"/>
              </w:rPr>
              <w:t>[招标]根据《政府采购货物和服务招标投标管理办法》（财政部87号令）的规定，综合</w:t>
            </w:r>
            <w:r>
              <w:rPr>
                <w:rFonts w:ascii="宋体" w:hAnsi="宋体" w:cs="宋体"/>
                <w:kern w:val="0"/>
                <w:szCs w:val="21"/>
                <w:lang w:val="zh-CN"/>
              </w:rPr>
              <w:t>评分法服务</w:t>
            </w:r>
            <w:r>
              <w:rPr>
                <w:rFonts w:hint="eastAsia" w:ascii="宋体" w:hAnsi="宋体" w:cs="宋体"/>
                <w:kern w:val="0"/>
                <w:szCs w:val="21"/>
                <w:lang w:val="zh-CN"/>
              </w:rPr>
              <w:t>项目的价格分值占总分值的比重不得低于</w:t>
            </w:r>
            <w:r>
              <w:rPr>
                <w:rFonts w:ascii="宋体" w:hAnsi="宋体" w:cs="宋体"/>
                <w:kern w:val="0"/>
                <w:szCs w:val="21"/>
                <w:lang w:val="zh-CN"/>
              </w:rPr>
              <w:t>1</w:t>
            </w:r>
            <w:r>
              <w:rPr>
                <w:rFonts w:hint="eastAsia" w:ascii="宋体" w:hAnsi="宋体" w:cs="宋体"/>
                <w:kern w:val="0"/>
                <w:szCs w:val="21"/>
                <w:lang w:val="zh-CN"/>
              </w:rPr>
              <w:t>0%。执行国家统一定价标准和采用固定价格采购的项目，其价格不列为评审因素。</w:t>
            </w:r>
          </w:p>
          <w:p w14:paraId="03C9A769">
            <w:pPr>
              <w:widowControl/>
              <w:rPr>
                <w:rFonts w:ascii="宋体" w:hAnsi="宋体" w:cs="宋体"/>
                <w:kern w:val="0"/>
                <w:szCs w:val="21"/>
                <w:lang w:val="zh-CN"/>
              </w:rPr>
            </w:pPr>
            <w:r>
              <w:rPr>
                <w:rFonts w:ascii="宋体" w:hAnsi="宋体" w:cs="宋体"/>
                <w:kern w:val="0"/>
                <w:szCs w:val="21"/>
                <w:lang w:val="zh-CN"/>
              </w:rPr>
              <w:t>[磋商</w:t>
            </w:r>
            <w:r>
              <w:rPr>
                <w:rFonts w:hint="eastAsia" w:ascii="宋体" w:hAnsi="宋体" w:cs="宋体"/>
                <w:kern w:val="0"/>
                <w:szCs w:val="21"/>
                <w:lang w:val="zh-CN"/>
              </w:rPr>
              <w:t>]根据《政府采购竞争性磋商采购方式管理暂行办法》（财库〔2014〕214号）的规定，服务项目的价格分值占总分值的比重(即权值)为</w:t>
            </w:r>
            <w:r>
              <w:rPr>
                <w:rFonts w:ascii="宋体" w:hAnsi="宋体" w:cs="宋体"/>
                <w:kern w:val="0"/>
                <w:szCs w:val="21"/>
                <w:lang w:val="zh-CN"/>
              </w:rPr>
              <w:t>1</w:t>
            </w:r>
            <w:r>
              <w:rPr>
                <w:rFonts w:hint="eastAsia" w:ascii="宋体" w:hAnsi="宋体" w:cs="宋体"/>
                <w:kern w:val="0"/>
                <w:szCs w:val="21"/>
                <w:lang w:val="zh-CN"/>
              </w:rPr>
              <w:t>0%-</w:t>
            </w:r>
            <w:r>
              <w:rPr>
                <w:rFonts w:ascii="宋体" w:hAnsi="宋体" w:cs="宋体"/>
                <w:kern w:val="0"/>
                <w:szCs w:val="21"/>
                <w:lang w:val="zh-CN"/>
              </w:rPr>
              <w:t>3</w:t>
            </w:r>
            <w:r>
              <w:rPr>
                <w:rFonts w:hint="eastAsia" w:ascii="宋体" w:hAnsi="宋体" w:cs="宋体"/>
                <w:kern w:val="0"/>
                <w:szCs w:val="21"/>
                <w:lang w:val="zh-CN"/>
              </w:rPr>
              <w:t>0%。</w:t>
            </w:r>
          </w:p>
          <w:p w14:paraId="5C12A375">
            <w:pPr>
              <w:widowControl/>
              <w:rPr>
                <w:rFonts w:ascii="宋体" w:hAnsi="宋体" w:cs="宋体"/>
                <w:kern w:val="0"/>
                <w:szCs w:val="21"/>
                <w:lang w:val="zh-CN"/>
              </w:rPr>
            </w:pPr>
            <w:r>
              <w:rPr>
                <w:rFonts w:hint="eastAsia" w:ascii="宋体" w:hAnsi="宋体" w:cs="宋体"/>
                <w:kern w:val="0"/>
                <w:szCs w:val="21"/>
                <w:lang w:val="zh-CN"/>
              </w:rPr>
              <w:t>[其他采购方式]无须设置。</w:t>
            </w:r>
          </w:p>
        </w:tc>
      </w:tr>
      <w:tr w14:paraId="1175C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5474E79A">
            <w:pPr>
              <w:snapToGrid w:val="0"/>
              <w:spacing w:after="200"/>
              <w:jc w:val="center"/>
              <w:rPr>
                <w:rFonts w:ascii="宋体" w:hAnsi="宋体"/>
                <w:sz w:val="24"/>
              </w:rPr>
            </w:pPr>
            <w:r>
              <w:rPr>
                <w:rFonts w:ascii="宋体" w:hAnsi="宋体"/>
                <w:sz w:val="24"/>
              </w:rPr>
              <w:t>9</w:t>
            </w:r>
          </w:p>
        </w:tc>
        <w:tc>
          <w:tcPr>
            <w:tcW w:w="1556" w:type="dxa"/>
            <w:vAlign w:val="center"/>
          </w:tcPr>
          <w:p w14:paraId="66F1492E">
            <w:pPr>
              <w:pStyle w:val="30"/>
              <w:ind w:left="96"/>
              <w:jc w:val="center"/>
              <w:rPr>
                <w:kern w:val="2"/>
                <w:lang w:val="zh-CN"/>
              </w:rPr>
            </w:pPr>
            <w:r>
              <w:rPr>
                <w:kern w:val="2"/>
                <w:lang w:val="zh-CN"/>
              </w:rPr>
              <w:t>合同类型</w:t>
            </w:r>
          </w:p>
        </w:tc>
        <w:tc>
          <w:tcPr>
            <w:tcW w:w="7067" w:type="dxa"/>
            <w:vAlign w:val="center"/>
          </w:tcPr>
          <w:p w14:paraId="33AEA398">
            <w:pPr>
              <w:rPr>
                <w:rFonts w:ascii="宋体" w:hAnsi="宋体"/>
                <w:b/>
                <w:sz w:val="24"/>
                <w:lang w:val="zh-CN"/>
              </w:rPr>
            </w:pPr>
            <w:r>
              <w:rPr>
                <w:rFonts w:hint="eastAsia" w:ascii="仿宋" w:hAnsi="仿宋" w:eastAsia="仿宋" w:cs="仿宋"/>
                <w:b/>
                <w:kern w:val="2"/>
                <w:lang w:val="zh-CN"/>
              </w:rPr>
              <w:t>●</w:t>
            </w:r>
            <w:r>
              <w:rPr>
                <w:rFonts w:ascii="宋体" w:hAnsi="宋体"/>
                <w:b/>
                <w:sz w:val="24"/>
                <w:lang w:val="zh-CN"/>
              </w:rPr>
              <w:t>固定总价</w:t>
            </w:r>
          </w:p>
          <w:p w14:paraId="1D29D2FE">
            <w:pPr>
              <w:rPr>
                <w:rFonts w:ascii="宋体" w:hAnsi="宋体"/>
                <w:b/>
                <w:sz w:val="24"/>
                <w:lang w:val="zh-CN"/>
              </w:rPr>
            </w:pPr>
            <w:r>
              <w:rPr>
                <w:rFonts w:ascii="宋体" w:hAnsi="宋体"/>
                <w:b/>
                <w:sz w:val="24"/>
                <w:lang w:val="zh-CN"/>
              </w:rPr>
              <w:t>○固定单价（适用于采购数量不定的情形）</w:t>
            </w:r>
          </w:p>
          <w:p w14:paraId="0EEF00F7">
            <w:pPr>
              <w:rPr>
                <w:rFonts w:ascii="宋体" w:hAnsi="宋体"/>
                <w:sz w:val="24"/>
                <w:lang w:val="zh-CN"/>
              </w:rPr>
            </w:pPr>
            <w:r>
              <w:rPr>
                <w:rFonts w:ascii="宋体" w:hAnsi="宋体"/>
                <w:b/>
                <w:sz w:val="24"/>
                <w:lang w:val="zh-CN"/>
              </w:rPr>
              <w:t>○其他</w:t>
            </w:r>
            <w:r>
              <w:rPr>
                <w:rFonts w:hint="eastAsia" w:ascii="宋体" w:hAnsi="宋体"/>
                <w:b/>
                <w:sz w:val="24"/>
                <w:lang w:val="zh-CN"/>
              </w:rPr>
              <w:t>：_____________________________</w:t>
            </w:r>
          </w:p>
        </w:tc>
      </w:tr>
      <w:tr w14:paraId="7CF71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6C9C79F1">
            <w:pPr>
              <w:snapToGrid w:val="0"/>
              <w:spacing w:after="200"/>
              <w:jc w:val="center"/>
              <w:rPr>
                <w:rFonts w:ascii="宋体" w:hAnsi="宋体"/>
                <w:sz w:val="24"/>
              </w:rPr>
            </w:pPr>
            <w:r>
              <w:rPr>
                <w:rFonts w:ascii="宋体" w:hAnsi="宋体"/>
                <w:sz w:val="24"/>
              </w:rPr>
              <w:t>10</w:t>
            </w:r>
          </w:p>
        </w:tc>
        <w:tc>
          <w:tcPr>
            <w:tcW w:w="1556" w:type="dxa"/>
            <w:vAlign w:val="center"/>
          </w:tcPr>
          <w:p w14:paraId="244DCED3">
            <w:pPr>
              <w:tabs>
                <w:tab w:val="left" w:pos="7665"/>
              </w:tabs>
              <w:snapToGrid w:val="0"/>
              <w:jc w:val="center"/>
              <w:rPr>
                <w:rFonts w:ascii="宋体" w:hAnsi="宋体"/>
                <w:sz w:val="24"/>
              </w:rPr>
            </w:pPr>
            <w:r>
              <w:rPr>
                <w:rFonts w:ascii="宋体" w:hAnsi="宋体"/>
                <w:sz w:val="24"/>
              </w:rPr>
              <w:t>争议解决途径</w:t>
            </w:r>
          </w:p>
        </w:tc>
        <w:tc>
          <w:tcPr>
            <w:tcW w:w="7067" w:type="dxa"/>
            <w:vAlign w:val="center"/>
          </w:tcPr>
          <w:p w14:paraId="7BE4AE17">
            <w:pPr>
              <w:tabs>
                <w:tab w:val="left" w:pos="7665"/>
              </w:tabs>
              <w:snapToGrid w:val="0"/>
              <w:rPr>
                <w:rFonts w:ascii="宋体" w:hAnsi="宋体"/>
                <w:b/>
                <w:sz w:val="24"/>
              </w:rPr>
            </w:pPr>
            <w:r>
              <w:rPr>
                <w:rFonts w:hint="eastAsia" w:ascii="仿宋" w:hAnsi="仿宋" w:eastAsia="仿宋" w:cs="仿宋"/>
                <w:b/>
                <w:kern w:val="2"/>
                <w:lang w:val="zh-CN"/>
              </w:rPr>
              <w:t>●</w:t>
            </w:r>
            <w:r>
              <w:rPr>
                <w:rFonts w:ascii="宋体" w:hAnsi="宋体"/>
                <w:b/>
                <w:sz w:val="24"/>
              </w:rPr>
              <w:t>向有管辖权的人民法院提起诉讼</w:t>
            </w:r>
          </w:p>
          <w:p w14:paraId="2F339F07">
            <w:pPr>
              <w:tabs>
                <w:tab w:val="left" w:pos="7665"/>
              </w:tabs>
              <w:snapToGrid w:val="0"/>
              <w:rPr>
                <w:rFonts w:ascii="宋体" w:hAnsi="宋体"/>
                <w:b/>
                <w:sz w:val="24"/>
              </w:rPr>
            </w:pPr>
            <w:r>
              <w:rPr>
                <w:rFonts w:ascii="宋体" w:hAnsi="宋体"/>
                <w:b/>
                <w:sz w:val="24"/>
              </w:rPr>
              <w:t>○向西安仲裁委员会提请仲裁</w:t>
            </w:r>
          </w:p>
          <w:p w14:paraId="6CBC6D59">
            <w:pPr>
              <w:tabs>
                <w:tab w:val="left" w:pos="7665"/>
              </w:tabs>
              <w:snapToGrid w:val="0"/>
              <w:rPr>
                <w:rFonts w:ascii="宋体" w:hAnsi="宋体"/>
                <w:sz w:val="24"/>
              </w:rPr>
            </w:pPr>
            <w:r>
              <w:rPr>
                <w:rFonts w:ascii="宋体" w:hAnsi="宋体"/>
                <w:b/>
                <w:sz w:val="24"/>
              </w:rPr>
              <w:t>○由供应商做出选择</w:t>
            </w:r>
          </w:p>
        </w:tc>
      </w:tr>
      <w:tr w14:paraId="10E5C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584C29CC">
            <w:pPr>
              <w:snapToGrid w:val="0"/>
              <w:spacing w:after="200"/>
              <w:jc w:val="center"/>
              <w:rPr>
                <w:rFonts w:ascii="宋体" w:hAnsi="宋体"/>
                <w:sz w:val="24"/>
              </w:rPr>
            </w:pPr>
            <w:r>
              <w:rPr>
                <w:rFonts w:ascii="宋体" w:hAnsi="宋体"/>
                <w:sz w:val="24"/>
              </w:rPr>
              <w:t>11</w:t>
            </w:r>
          </w:p>
        </w:tc>
        <w:tc>
          <w:tcPr>
            <w:tcW w:w="1556" w:type="dxa"/>
            <w:vAlign w:val="center"/>
          </w:tcPr>
          <w:p w14:paraId="6B4BD7C8">
            <w:pPr>
              <w:snapToGrid w:val="0"/>
              <w:jc w:val="center"/>
              <w:rPr>
                <w:rFonts w:ascii="宋体" w:hAnsi="宋体"/>
                <w:sz w:val="24"/>
              </w:rPr>
            </w:pPr>
            <w:r>
              <w:rPr>
                <w:rFonts w:hint="eastAsia" w:ascii="宋体" w:hAnsi="宋体"/>
                <w:sz w:val="24"/>
              </w:rPr>
              <w:t>联系方式</w:t>
            </w:r>
          </w:p>
        </w:tc>
        <w:tc>
          <w:tcPr>
            <w:tcW w:w="7067" w:type="dxa"/>
            <w:vAlign w:val="center"/>
          </w:tcPr>
          <w:p w14:paraId="4D696350">
            <w:pPr>
              <w:tabs>
                <w:tab w:val="left" w:pos="7665"/>
              </w:tabs>
              <w:snapToGrid w:val="0"/>
              <w:rPr>
                <w:rFonts w:hint="eastAsia" w:ascii="宋体" w:hAnsi="宋体"/>
                <w:b/>
                <w:bCs/>
                <w:sz w:val="24"/>
                <w:u w:val="single"/>
              </w:rPr>
            </w:pPr>
            <w:r>
              <w:rPr>
                <w:rFonts w:hint="eastAsia" w:ascii="宋体" w:hAnsi="宋体"/>
                <w:b/>
                <w:bCs/>
                <w:sz w:val="24"/>
              </w:rPr>
              <w:t>项目对接人：</w:t>
            </w:r>
            <w:r>
              <w:rPr>
                <w:rFonts w:hint="eastAsia" w:ascii="宋体" w:hAnsi="宋体"/>
                <w:b/>
                <w:bCs/>
                <w:sz w:val="24"/>
                <w:u w:val="single"/>
              </w:rPr>
              <w:t>张红红</w:t>
            </w:r>
          </w:p>
          <w:p w14:paraId="08B6BBE9">
            <w:pPr>
              <w:tabs>
                <w:tab w:val="left" w:pos="7665"/>
              </w:tabs>
              <w:snapToGrid w:val="0"/>
              <w:rPr>
                <w:rFonts w:hint="eastAsia" w:ascii="宋体" w:hAnsi="宋体"/>
                <w:b/>
                <w:bCs/>
                <w:sz w:val="24"/>
                <w:u w:val="single"/>
              </w:rPr>
            </w:pPr>
            <w:r>
              <w:rPr>
                <w:rFonts w:hint="eastAsia" w:ascii="宋体" w:hAnsi="宋体"/>
                <w:b/>
                <w:bCs/>
                <w:sz w:val="24"/>
              </w:rPr>
              <w:t>联系电话：</w:t>
            </w:r>
            <w:r>
              <w:rPr>
                <w:rFonts w:hint="eastAsia" w:ascii="宋体" w:hAnsi="宋体"/>
                <w:b/>
                <w:bCs/>
                <w:sz w:val="24"/>
                <w:u w:val="single"/>
              </w:rPr>
              <w:t>15029356326</w:t>
            </w:r>
          </w:p>
          <w:p w14:paraId="2584B468">
            <w:pPr>
              <w:tabs>
                <w:tab w:val="left" w:pos="7665"/>
              </w:tabs>
              <w:snapToGrid w:val="0"/>
              <w:rPr>
                <w:rFonts w:ascii="宋体" w:hAnsi="宋体"/>
                <w:sz w:val="24"/>
              </w:rPr>
            </w:pPr>
            <w:r>
              <w:rPr>
                <w:rFonts w:hint="eastAsia" w:ascii="宋体" w:hAnsi="宋体"/>
                <w:b/>
                <w:bCs/>
                <w:sz w:val="24"/>
              </w:rPr>
              <w:t>电子邮箱：</w:t>
            </w:r>
            <w:r>
              <w:rPr>
                <w:rFonts w:hint="eastAsia" w:ascii="宋体" w:hAnsi="宋体"/>
                <w:b/>
                <w:bCs/>
                <w:sz w:val="24"/>
                <w:u w:val="single"/>
              </w:rPr>
              <w:t>ylxdnycyy@126.com</w:t>
            </w:r>
          </w:p>
        </w:tc>
      </w:tr>
    </w:tbl>
    <w:p w14:paraId="2F296A95">
      <w:pPr>
        <w:widowControl/>
        <w:jc w:val="center"/>
        <w:rPr>
          <w:rFonts w:ascii="仿宋" w:hAnsi="仿宋" w:eastAsia="仿宋"/>
          <w:b/>
          <w:sz w:val="32"/>
          <w:szCs w:val="32"/>
        </w:rPr>
      </w:pPr>
    </w:p>
    <w:p w14:paraId="3C5C0FF8">
      <w:pPr>
        <w:widowControl/>
        <w:jc w:val="center"/>
        <w:rPr>
          <w:rFonts w:ascii="仿宋" w:hAnsi="仿宋" w:eastAsia="仿宋"/>
          <w:b/>
          <w:sz w:val="32"/>
          <w:szCs w:val="32"/>
        </w:rPr>
      </w:pPr>
    </w:p>
    <w:p w14:paraId="38BB1232">
      <w:pPr>
        <w:widowControl/>
        <w:jc w:val="center"/>
        <w:rPr>
          <w:rFonts w:ascii="仿宋" w:hAnsi="仿宋" w:eastAsia="仿宋"/>
          <w:b/>
          <w:sz w:val="32"/>
          <w:szCs w:val="32"/>
        </w:rPr>
      </w:pPr>
    </w:p>
    <w:p w14:paraId="1051AAB7">
      <w:pPr>
        <w:widowControl/>
        <w:jc w:val="center"/>
        <w:rPr>
          <w:rFonts w:ascii="仿宋" w:hAnsi="仿宋" w:eastAsia="仿宋"/>
          <w:b/>
          <w:sz w:val="32"/>
          <w:szCs w:val="32"/>
        </w:rPr>
      </w:pPr>
    </w:p>
    <w:p w14:paraId="2669A4ED">
      <w:pPr>
        <w:widowControl/>
        <w:jc w:val="center"/>
        <w:rPr>
          <w:rFonts w:ascii="仿宋" w:hAnsi="仿宋" w:eastAsia="仿宋"/>
          <w:b/>
          <w:sz w:val="32"/>
          <w:szCs w:val="32"/>
        </w:rPr>
      </w:pPr>
    </w:p>
    <w:p w14:paraId="086F50F1">
      <w:pPr>
        <w:widowControl/>
        <w:jc w:val="center"/>
        <w:rPr>
          <w:rFonts w:ascii="仿宋" w:hAnsi="仿宋" w:eastAsia="仿宋"/>
          <w:b/>
          <w:sz w:val="32"/>
          <w:szCs w:val="32"/>
        </w:rPr>
      </w:pPr>
      <w:r>
        <w:rPr>
          <w:rFonts w:ascii="仿宋" w:hAnsi="仿宋" w:eastAsia="仿宋"/>
          <w:b/>
          <w:sz w:val="32"/>
          <w:szCs w:val="32"/>
        </w:rPr>
        <w:t>需求框架</w:t>
      </w:r>
      <w:r>
        <w:rPr>
          <w:rFonts w:hint="eastAsia" w:ascii="仿宋" w:hAnsi="仿宋" w:eastAsia="仿宋"/>
          <w:b/>
          <w:sz w:val="32"/>
          <w:szCs w:val="32"/>
        </w:rPr>
        <w:t>（服务类</w:t>
      </w:r>
      <w:r>
        <w:rPr>
          <w:rFonts w:ascii="仿宋" w:hAnsi="仿宋" w:eastAsia="仿宋"/>
          <w:b/>
          <w:sz w:val="32"/>
          <w:szCs w:val="32"/>
        </w:rPr>
        <w:t>）</w:t>
      </w:r>
    </w:p>
    <w:p w14:paraId="1FAE5B9A">
      <w:pPr>
        <w:pBdr>
          <w:bottom w:val="single" w:color="auto" w:sz="4" w:space="1"/>
        </w:pBdr>
        <w:spacing w:beforeLines="100"/>
        <w:ind w:left="420" w:hanging="420"/>
        <w:rPr>
          <w:rFonts w:ascii="仿宋" w:hAnsi="仿宋" w:eastAsia="仿宋"/>
          <w:b/>
          <w:sz w:val="28"/>
          <w:szCs w:val="28"/>
        </w:rPr>
      </w:pPr>
      <w:r>
        <w:rPr>
          <w:rFonts w:ascii="仿宋" w:hAnsi="仿宋" w:eastAsia="仿宋"/>
          <w:b/>
          <w:sz w:val="28"/>
          <w:szCs w:val="28"/>
        </w:rPr>
        <w:t>一、项目</w:t>
      </w:r>
      <w:r>
        <w:rPr>
          <w:rFonts w:hint="eastAsia" w:ascii="仿宋" w:hAnsi="仿宋" w:eastAsia="仿宋"/>
          <w:b/>
          <w:sz w:val="28"/>
          <w:szCs w:val="28"/>
        </w:rPr>
        <w:t>概况</w:t>
      </w:r>
    </w:p>
    <w:p w14:paraId="2ECE5203">
      <w:pPr>
        <w:ind w:firstLine="560" w:firstLineChars="200"/>
        <w:rPr>
          <w:rFonts w:hint="eastAsia" w:ascii="仿宋" w:hAnsi="仿宋" w:eastAsia="仿宋"/>
          <w:b w:val="0"/>
          <w:bCs/>
          <w:sz w:val="28"/>
          <w:szCs w:val="28"/>
        </w:rPr>
      </w:pPr>
      <w:r>
        <w:rPr>
          <w:rFonts w:hint="eastAsia" w:ascii="仿宋" w:hAnsi="仿宋" w:eastAsia="仿宋"/>
          <w:b w:val="0"/>
          <w:bCs/>
          <w:sz w:val="28"/>
          <w:szCs w:val="28"/>
        </w:rPr>
        <w:t>为确保阎良区国家现代农业产业园项目建设质量，充分发挥产业园项目示范带动作用，提升阎良区甜瓜和羊乳加工产业竞争力，确保项目验收工作科学、公正、有效进行，组织</w:t>
      </w:r>
      <w:r>
        <w:rPr>
          <w:rFonts w:hint="eastAsia" w:ascii="仿宋" w:hAnsi="仿宋" w:eastAsia="仿宋"/>
          <w:b w:val="0"/>
          <w:bCs/>
          <w:sz w:val="28"/>
          <w:szCs w:val="28"/>
          <w:lang w:val="en-US" w:eastAsia="zh-CN"/>
        </w:rPr>
        <w:t>对阎良区创建国家现代农业产业园项目含 24 个子项目进行</w:t>
      </w:r>
      <w:r>
        <w:rPr>
          <w:rFonts w:hint="eastAsia" w:ascii="仿宋" w:hAnsi="仿宋" w:eastAsia="仿宋"/>
          <w:b w:val="0"/>
          <w:bCs/>
          <w:sz w:val="28"/>
          <w:szCs w:val="28"/>
        </w:rPr>
        <w:t>验收</w:t>
      </w:r>
      <w:r>
        <w:rPr>
          <w:rFonts w:hint="eastAsia" w:ascii="仿宋" w:hAnsi="仿宋" w:eastAsia="仿宋"/>
          <w:b w:val="0"/>
          <w:bCs/>
          <w:sz w:val="28"/>
          <w:szCs w:val="28"/>
          <w:lang w:val="en-US" w:eastAsia="zh-CN"/>
        </w:rPr>
        <w:t>评定</w:t>
      </w:r>
      <w:r>
        <w:rPr>
          <w:rFonts w:hint="eastAsia" w:ascii="仿宋" w:hAnsi="仿宋" w:eastAsia="仿宋"/>
          <w:b w:val="0"/>
          <w:bCs/>
          <w:sz w:val="28"/>
          <w:szCs w:val="28"/>
        </w:rPr>
        <w:t>并出具验收报告。</w:t>
      </w:r>
    </w:p>
    <w:p w14:paraId="500E6EAF">
      <w:pPr>
        <w:pBdr>
          <w:bottom w:val="single" w:color="auto" w:sz="4" w:space="1"/>
        </w:pBdr>
        <w:spacing w:beforeLines="100"/>
        <w:rPr>
          <w:rFonts w:ascii="仿宋" w:hAnsi="仿宋" w:eastAsia="仿宋"/>
          <w:b/>
          <w:sz w:val="28"/>
          <w:szCs w:val="28"/>
        </w:rPr>
      </w:pPr>
      <w:r>
        <w:rPr>
          <w:rFonts w:hint="eastAsia" w:ascii="仿宋" w:hAnsi="仿宋" w:eastAsia="仿宋"/>
          <w:b/>
          <w:sz w:val="28"/>
          <w:szCs w:val="28"/>
        </w:rPr>
        <w:t>二、服务内容（包括工作区域、工作内容等）</w:t>
      </w:r>
    </w:p>
    <w:p w14:paraId="37F6CD08">
      <w:pPr>
        <w:ind w:firstLine="562" w:firstLineChars="200"/>
        <w:rPr>
          <w:rFonts w:hint="eastAsia" w:ascii="仿宋" w:hAnsi="仿宋" w:eastAsia="仿宋" w:cs="Times New Roman"/>
          <w:b w:val="0"/>
          <w:bCs/>
          <w:sz w:val="28"/>
          <w:szCs w:val="28"/>
          <w:lang w:eastAsia="zh-CN"/>
        </w:rPr>
      </w:pPr>
      <w:r>
        <w:rPr>
          <w:rFonts w:hint="eastAsia" w:ascii="仿宋" w:hAnsi="仿宋" w:eastAsia="仿宋" w:cs="Times New Roman"/>
          <w:b/>
          <w:bCs w:val="0"/>
          <w:sz w:val="28"/>
          <w:szCs w:val="28"/>
          <w:lang w:val="en-US" w:eastAsia="zh-CN"/>
        </w:rPr>
        <w:t>1、验收地点：</w:t>
      </w:r>
      <w:r>
        <w:rPr>
          <w:rFonts w:hint="eastAsia" w:ascii="仿宋" w:hAnsi="仿宋" w:eastAsia="仿宋" w:cs="Times New Roman"/>
          <w:b w:val="0"/>
          <w:bCs/>
          <w:sz w:val="28"/>
          <w:szCs w:val="28"/>
        </w:rPr>
        <w:t>阎良区</w:t>
      </w:r>
      <w:r>
        <w:rPr>
          <w:rFonts w:hint="eastAsia" w:ascii="仿宋" w:hAnsi="仿宋" w:eastAsia="仿宋" w:cs="Times New Roman"/>
          <w:b w:val="0"/>
          <w:bCs/>
          <w:sz w:val="28"/>
          <w:szCs w:val="28"/>
          <w:lang w:eastAsia="zh-CN"/>
        </w:rPr>
        <w:t>关山、武屯、新兴街道</w:t>
      </w:r>
    </w:p>
    <w:p w14:paraId="079680D6">
      <w:pPr>
        <w:ind w:firstLine="562" w:firstLineChars="200"/>
        <w:rPr>
          <w:rFonts w:hint="eastAsia" w:ascii="仿宋" w:hAnsi="仿宋" w:eastAsia="仿宋"/>
          <w:b w:val="0"/>
          <w:bCs/>
          <w:sz w:val="28"/>
          <w:szCs w:val="28"/>
          <w:lang w:eastAsia="zh-CN"/>
        </w:rPr>
      </w:pPr>
      <w:r>
        <w:rPr>
          <w:rFonts w:hint="eastAsia" w:ascii="仿宋" w:hAnsi="仿宋" w:eastAsia="仿宋" w:cs="Times New Roman"/>
          <w:b/>
          <w:bCs w:val="0"/>
          <w:sz w:val="28"/>
          <w:szCs w:val="28"/>
          <w:lang w:val="en-US" w:eastAsia="zh-CN"/>
        </w:rPr>
        <w:t>2、工作内容：</w:t>
      </w:r>
      <w:r>
        <w:rPr>
          <w:rFonts w:hint="eastAsia" w:ascii="仿宋" w:hAnsi="仿宋" w:eastAsia="仿宋"/>
          <w:b w:val="0"/>
          <w:bCs/>
          <w:sz w:val="28"/>
          <w:szCs w:val="28"/>
        </w:rPr>
        <w:t>为确保阎良区国家现代农业产业园项目建设质量，充分发挥产业园项目示范带动作用，提升阎良区甜瓜和羊乳加工产业竞争力，确保项目验收工作科学、公正、有效进行，选择第三方机构</w:t>
      </w:r>
      <w:r>
        <w:rPr>
          <w:rFonts w:hint="eastAsia" w:ascii="仿宋" w:hAnsi="仿宋" w:eastAsia="仿宋"/>
          <w:b w:val="0"/>
          <w:bCs/>
          <w:sz w:val="28"/>
          <w:szCs w:val="28"/>
          <w:lang w:val="en-US" w:eastAsia="zh-CN"/>
        </w:rPr>
        <w:t>对阎良区创建国家现代农业产业园项目含24个子项目</w:t>
      </w:r>
      <w:r>
        <w:rPr>
          <w:rFonts w:hint="eastAsia" w:ascii="仿宋" w:hAnsi="仿宋" w:eastAsia="仿宋"/>
          <w:b w:val="0"/>
          <w:bCs/>
          <w:sz w:val="28"/>
          <w:szCs w:val="28"/>
        </w:rPr>
        <w:t>开展验收</w:t>
      </w:r>
      <w:r>
        <w:rPr>
          <w:rFonts w:hint="eastAsia" w:ascii="仿宋" w:hAnsi="仿宋" w:eastAsia="仿宋"/>
          <w:b w:val="0"/>
          <w:bCs/>
          <w:sz w:val="28"/>
          <w:szCs w:val="28"/>
          <w:lang w:val="en-US" w:eastAsia="zh-CN"/>
        </w:rPr>
        <w:t>评定</w:t>
      </w:r>
      <w:r>
        <w:rPr>
          <w:rFonts w:hint="eastAsia" w:ascii="仿宋" w:hAnsi="仿宋" w:eastAsia="仿宋"/>
          <w:b w:val="0"/>
          <w:bCs/>
          <w:sz w:val="28"/>
          <w:szCs w:val="28"/>
        </w:rPr>
        <w:t>工作并出具验收报告。</w:t>
      </w:r>
    </w:p>
    <w:p w14:paraId="5E3B2716">
      <w:pPr>
        <w:pBdr>
          <w:bottom w:val="single" w:color="auto" w:sz="4" w:space="1"/>
        </w:pBdr>
        <w:spacing w:beforeLines="100"/>
        <w:ind w:left="420" w:hanging="420"/>
        <w:rPr>
          <w:rFonts w:ascii="仿宋" w:hAnsi="仿宋" w:eastAsia="仿宋"/>
          <w:b/>
          <w:sz w:val="28"/>
          <w:szCs w:val="28"/>
        </w:rPr>
      </w:pPr>
      <w:r>
        <w:rPr>
          <w:rFonts w:hint="eastAsia" w:ascii="仿宋" w:hAnsi="仿宋" w:eastAsia="仿宋"/>
          <w:b/>
          <w:sz w:val="28"/>
          <w:szCs w:val="28"/>
        </w:rPr>
        <w:t>三、技术要求（如有，一般适合于技术服务项目）</w:t>
      </w:r>
    </w:p>
    <w:p w14:paraId="15542952">
      <w:pPr>
        <w:ind w:firstLine="480" w:firstLineChars="200"/>
        <w:rPr>
          <w:rFonts w:hint="eastAsia" w:ascii="楷体" w:hAnsi="楷体" w:eastAsia="楷体"/>
          <w:color w:val="FF0000"/>
          <w:sz w:val="24"/>
          <w:szCs w:val="28"/>
        </w:rPr>
      </w:pPr>
    </w:p>
    <w:p w14:paraId="0035DAFE">
      <w:pPr>
        <w:ind w:firstLine="560" w:firstLineChars="200"/>
        <w:rPr>
          <w:rFonts w:hint="eastAsia" w:ascii="仿宋" w:hAnsi="仿宋" w:eastAsia="仿宋" w:cs="Times New Roman"/>
          <w:b w:val="0"/>
          <w:bCs/>
          <w:sz w:val="28"/>
          <w:szCs w:val="28"/>
        </w:rPr>
      </w:pPr>
      <w:r>
        <w:rPr>
          <w:rFonts w:hint="eastAsia" w:ascii="仿宋" w:hAnsi="仿宋" w:eastAsia="仿宋" w:cs="Times New Roman"/>
          <w:b w:val="0"/>
          <w:bCs/>
          <w:sz w:val="28"/>
          <w:szCs w:val="28"/>
        </w:rPr>
        <w:t>（一）验收项目建设内容完成情况：包括产业园基础设施建设、项目技术引进与推广、农产品加工与物流等方面。</w:t>
      </w:r>
    </w:p>
    <w:p w14:paraId="3D383A93">
      <w:pPr>
        <w:ind w:firstLine="560" w:firstLineChars="200"/>
        <w:rPr>
          <w:rFonts w:hint="eastAsia" w:ascii="仿宋" w:hAnsi="仿宋" w:eastAsia="仿宋" w:cs="Times New Roman"/>
          <w:b w:val="0"/>
          <w:bCs/>
          <w:sz w:val="28"/>
          <w:szCs w:val="28"/>
        </w:rPr>
      </w:pPr>
      <w:r>
        <w:rPr>
          <w:rFonts w:hint="eastAsia" w:ascii="仿宋" w:hAnsi="仿宋" w:eastAsia="仿宋" w:cs="Times New Roman"/>
          <w:b w:val="0"/>
          <w:bCs/>
          <w:sz w:val="28"/>
          <w:szCs w:val="28"/>
        </w:rPr>
        <w:t>（二）验收项目投资使用情况：检查产业园项目资金的使用是否符合规定，是否存在挪用、浪费等问题。</w:t>
      </w:r>
    </w:p>
    <w:p w14:paraId="2DF2A5FA">
      <w:pPr>
        <w:ind w:firstLine="560" w:firstLineChars="200"/>
        <w:rPr>
          <w:rFonts w:hint="eastAsia" w:ascii="仿宋" w:hAnsi="仿宋" w:eastAsia="仿宋" w:cs="Times New Roman"/>
          <w:b w:val="0"/>
          <w:bCs/>
          <w:sz w:val="28"/>
          <w:szCs w:val="28"/>
        </w:rPr>
      </w:pPr>
      <w:r>
        <w:rPr>
          <w:rFonts w:hint="eastAsia" w:ascii="仿宋" w:hAnsi="仿宋" w:eastAsia="仿宋" w:cs="Times New Roman"/>
          <w:b w:val="0"/>
          <w:bCs/>
          <w:sz w:val="28"/>
          <w:szCs w:val="28"/>
        </w:rPr>
        <w:t>（三）验收项目管理与运行机制：评估产业园项目管理是否规范、运行机制是否顺畅，是否具备可持续发展的能力。</w:t>
      </w:r>
    </w:p>
    <w:p w14:paraId="1E8BA2DC">
      <w:pPr>
        <w:ind w:firstLine="560" w:firstLineChars="200"/>
        <w:rPr>
          <w:rFonts w:hint="eastAsia" w:ascii="仿宋" w:hAnsi="仿宋" w:eastAsia="仿宋" w:cs="Times New Roman"/>
          <w:b w:val="0"/>
          <w:bCs/>
          <w:sz w:val="28"/>
          <w:szCs w:val="28"/>
        </w:rPr>
      </w:pPr>
      <w:r>
        <w:rPr>
          <w:rFonts w:hint="eastAsia" w:ascii="仿宋" w:hAnsi="仿宋" w:eastAsia="仿宋" w:cs="Times New Roman"/>
          <w:b w:val="0"/>
          <w:bCs/>
          <w:sz w:val="28"/>
          <w:szCs w:val="28"/>
        </w:rPr>
        <w:t>（四）验收项目实际效益：评估产业园项目现代化、提升项目产业竞争力等方面的实际效果，包括经济效益、社会效益和生态效益等。</w:t>
      </w:r>
    </w:p>
    <w:p w14:paraId="41439ED1">
      <w:pPr>
        <w:pBdr>
          <w:bottom w:val="single" w:color="auto" w:sz="4" w:space="1"/>
        </w:pBdr>
        <w:spacing w:beforeLines="100"/>
        <w:ind w:left="420" w:hanging="420"/>
        <w:rPr>
          <w:rFonts w:ascii="仿宋" w:hAnsi="仿宋" w:eastAsia="仿宋"/>
          <w:b/>
          <w:sz w:val="28"/>
          <w:szCs w:val="28"/>
        </w:rPr>
      </w:pPr>
      <w:r>
        <w:rPr>
          <w:rFonts w:hint="eastAsia" w:ascii="仿宋" w:hAnsi="仿宋" w:eastAsia="仿宋"/>
          <w:b/>
          <w:sz w:val="28"/>
          <w:szCs w:val="28"/>
        </w:rPr>
        <w:t>四、服务要求（如对人员配置、专业设备、服务标准等）</w:t>
      </w:r>
    </w:p>
    <w:p w14:paraId="376B533B">
      <w:pPr>
        <w:ind w:firstLine="562" w:firstLineChars="200"/>
        <w:rPr>
          <w:rFonts w:hint="default" w:ascii="仿宋" w:hAnsi="仿宋" w:eastAsia="仿宋"/>
          <w:color w:val="FF0000"/>
          <w:sz w:val="28"/>
          <w:szCs w:val="28"/>
          <w:lang w:val="en-US" w:eastAsia="zh-CN"/>
        </w:rPr>
      </w:pPr>
      <w:r>
        <w:rPr>
          <w:rFonts w:hint="eastAsia" w:ascii="仿宋" w:hAnsi="仿宋" w:eastAsia="仿宋"/>
          <w:b/>
          <w:bCs/>
          <w:sz w:val="28"/>
          <w:szCs w:val="28"/>
        </w:rPr>
        <w:t>人员配置：</w:t>
      </w:r>
      <w:r>
        <w:rPr>
          <w:rFonts w:hint="eastAsia" w:ascii="仿宋" w:hAnsi="仿宋" w:eastAsia="仿宋"/>
          <w:sz w:val="28"/>
          <w:szCs w:val="28"/>
        </w:rPr>
        <w:t>总监理工程师，要求有国家级注册证件，无在建监理项目</w:t>
      </w:r>
      <w:r>
        <w:rPr>
          <w:rFonts w:hint="eastAsia" w:ascii="仿宋" w:hAnsi="仿宋" w:eastAsia="仿宋"/>
          <w:sz w:val="28"/>
          <w:szCs w:val="28"/>
          <w:lang w:eastAsia="zh-CN"/>
        </w:rPr>
        <w:t>。</w:t>
      </w:r>
      <w:r>
        <w:rPr>
          <w:rFonts w:hint="eastAsia" w:ascii="仿宋" w:hAnsi="仿宋" w:eastAsia="仿宋"/>
          <w:color w:val="auto"/>
          <w:sz w:val="28"/>
          <w:szCs w:val="28"/>
          <w:lang w:val="en-US" w:eastAsia="zh-CN"/>
        </w:rPr>
        <w:t>相关专家人数不少于7人。</w:t>
      </w:r>
    </w:p>
    <w:p w14:paraId="64B4FDD5">
      <w:pPr>
        <w:ind w:firstLine="562" w:firstLineChars="200"/>
        <w:rPr>
          <w:rFonts w:hint="eastAsia" w:ascii="仿宋" w:hAnsi="仿宋" w:eastAsia="仿宋"/>
          <w:color w:val="FF0000"/>
          <w:sz w:val="28"/>
          <w:szCs w:val="28"/>
          <w:lang w:eastAsia="zh-CN"/>
        </w:rPr>
      </w:pPr>
      <w:r>
        <w:rPr>
          <w:rFonts w:hint="eastAsia" w:ascii="仿宋" w:hAnsi="仿宋" w:eastAsia="仿宋"/>
          <w:b/>
          <w:bCs/>
          <w:sz w:val="28"/>
          <w:szCs w:val="28"/>
        </w:rPr>
        <w:t>专业设备：</w:t>
      </w:r>
      <w:r>
        <w:rPr>
          <w:rFonts w:hint="eastAsia" w:ascii="仿宋" w:hAnsi="仿宋" w:eastAsia="仿宋"/>
          <w:sz w:val="28"/>
          <w:szCs w:val="28"/>
        </w:rPr>
        <w:t>无人机、水准仪、全站仪、激光测距仪等</w:t>
      </w:r>
      <w:r>
        <w:rPr>
          <w:rFonts w:hint="eastAsia" w:ascii="仿宋" w:hAnsi="仿宋" w:eastAsia="仿宋"/>
          <w:sz w:val="28"/>
          <w:szCs w:val="28"/>
          <w:lang w:eastAsia="zh-CN"/>
        </w:rPr>
        <w:t>。</w:t>
      </w:r>
    </w:p>
    <w:p w14:paraId="496416E7">
      <w:pPr>
        <w:ind w:firstLine="562" w:firstLineChars="200"/>
        <w:rPr>
          <w:rFonts w:hint="default" w:ascii="仿宋" w:hAnsi="仿宋" w:eastAsia="仿宋" w:cs="Times New Roman"/>
          <w:sz w:val="28"/>
          <w:szCs w:val="28"/>
          <w:lang w:val="en-US" w:eastAsia="zh-CN"/>
        </w:rPr>
      </w:pPr>
      <w:r>
        <w:rPr>
          <w:rFonts w:hint="eastAsia" w:ascii="仿宋" w:hAnsi="仿宋" w:eastAsia="仿宋" w:cs="Times New Roman"/>
          <w:b/>
          <w:bCs/>
          <w:sz w:val="28"/>
          <w:szCs w:val="28"/>
          <w:lang w:val="en-US" w:eastAsia="zh-CN"/>
        </w:rPr>
        <w:t>服务标准：</w:t>
      </w:r>
      <w:r>
        <w:rPr>
          <w:rFonts w:hint="eastAsia" w:ascii="仿宋" w:hAnsi="仿宋" w:eastAsia="仿宋" w:cs="Times New Roman"/>
          <w:sz w:val="28"/>
          <w:szCs w:val="28"/>
          <w:lang w:val="en-US" w:eastAsia="zh-CN"/>
        </w:rPr>
        <w:t>（1）验收评定应坚持客观公正、科学合理、公平透明、实事求是的原则，采取实地考察、现场评分和查阅资料相结合的方式开展。（2）验收评定必须进行现场察看，对于客观性的指标，同时填表，严格按照打分规则打分。现场取证过程中每项打分要求拍照为证，不能拍照的，要求全部人员必须都在场确认得分后签名并记得分。</w:t>
      </w:r>
      <w:r>
        <w:rPr>
          <w:rFonts w:hint="eastAsia" w:ascii="仿宋" w:hAnsi="仿宋" w:eastAsia="仿宋" w:cs="Times New Roman"/>
          <w:kern w:val="2"/>
          <w:sz w:val="28"/>
          <w:szCs w:val="28"/>
          <w:lang w:val="en-US" w:eastAsia="zh-CN" w:bidi="ar-SA"/>
        </w:rPr>
        <w:t>（3）验收评定结果应形成相应的技术报告。技术报告应包含考核对象的基本情况、打分的情况及结果分析等。</w:t>
      </w:r>
    </w:p>
    <w:p w14:paraId="0C3865A6">
      <w:pPr>
        <w:pBdr>
          <w:bottom w:val="single" w:color="auto" w:sz="4" w:space="1"/>
        </w:pBdr>
        <w:spacing w:beforeLines="100"/>
        <w:ind w:left="420" w:hanging="420"/>
        <w:rPr>
          <w:rFonts w:ascii="仿宋" w:hAnsi="仿宋" w:eastAsia="仿宋"/>
          <w:b/>
          <w:sz w:val="28"/>
          <w:szCs w:val="28"/>
        </w:rPr>
      </w:pPr>
      <w:r>
        <w:rPr>
          <w:rFonts w:hint="eastAsia" w:ascii="仿宋" w:hAnsi="仿宋" w:eastAsia="仿宋"/>
          <w:b/>
          <w:sz w:val="28"/>
          <w:szCs w:val="28"/>
        </w:rPr>
        <w:t>五、商务要求（如服务期限、款项结算等）</w:t>
      </w:r>
    </w:p>
    <w:p w14:paraId="22F126FB">
      <w:pPr>
        <w:rPr>
          <w:rFonts w:hint="eastAsia" w:ascii="仿宋" w:hAnsi="仿宋" w:eastAsia="仿宋" w:cs="Times New Roman"/>
          <w:sz w:val="28"/>
          <w:szCs w:val="28"/>
          <w:lang w:val="en-US" w:eastAsia="zh-CN"/>
        </w:rPr>
      </w:pPr>
    </w:p>
    <w:p w14:paraId="49A61D32">
      <w:pPr>
        <w:rPr>
          <w:rFonts w:hint="default" w:ascii="仿宋" w:hAnsi="仿宋" w:eastAsia="仿宋" w:cs="Times New Roman"/>
          <w:sz w:val="28"/>
          <w:szCs w:val="28"/>
          <w:lang w:val="en-US" w:eastAsia="zh-CN"/>
        </w:rPr>
      </w:pPr>
      <w:r>
        <w:rPr>
          <w:rFonts w:hint="eastAsia" w:ascii="仿宋" w:hAnsi="仿宋" w:eastAsia="仿宋" w:cs="Times New Roman"/>
          <w:sz w:val="28"/>
          <w:szCs w:val="28"/>
          <w:lang w:val="en-US" w:eastAsia="zh-CN"/>
        </w:rPr>
        <w:t>（一）服务期限：合同签订之日至2025年12月31日，由第三方公司组织项目验收，并出具项目验收报告（如遇特殊情况，经甲方同意服务期限往后顺延）。</w:t>
      </w:r>
    </w:p>
    <w:p w14:paraId="03DC2574">
      <w:pPr>
        <w:rPr>
          <w:rFonts w:hint="eastAsia" w:ascii="仿宋" w:hAnsi="仿宋" w:eastAsia="仿宋" w:cs="Times New Roman"/>
          <w:sz w:val="28"/>
          <w:szCs w:val="28"/>
          <w:highlight w:val="yellow"/>
          <w:lang w:val="en-US" w:eastAsia="zh-CN"/>
        </w:rPr>
      </w:pPr>
      <w:r>
        <w:rPr>
          <w:rFonts w:hint="eastAsia" w:ascii="仿宋" w:hAnsi="仿宋" w:eastAsia="仿宋" w:cs="Times New Roman"/>
          <w:sz w:val="28"/>
          <w:szCs w:val="28"/>
          <w:lang w:val="en-US" w:eastAsia="zh-CN"/>
        </w:rPr>
        <w:t>（二）款项结算：本项目无预付款，</w:t>
      </w:r>
      <w:r>
        <w:rPr>
          <w:rFonts w:hint="eastAsia" w:ascii="仿宋" w:hAnsi="仿宋" w:eastAsia="仿宋" w:cs="Times New Roman"/>
          <w:sz w:val="28"/>
          <w:szCs w:val="28"/>
          <w:highlight w:val="none"/>
          <w:lang w:val="en-US" w:eastAsia="zh-CN"/>
        </w:rPr>
        <w:t>本项目服务合同签订生效后，待最终成果交付验收合格后，全额支付。</w:t>
      </w:r>
    </w:p>
    <w:p w14:paraId="27081D8F">
      <w:pPr>
        <w:rPr>
          <w:rFonts w:hint="eastAsia" w:ascii="仿宋" w:hAnsi="仿宋" w:eastAsia="仿宋"/>
          <w:b/>
          <w:sz w:val="28"/>
          <w:szCs w:val="28"/>
        </w:rPr>
      </w:pPr>
      <w:r>
        <w:rPr>
          <w:rFonts w:hint="eastAsia" w:ascii="仿宋" w:hAnsi="仿宋" w:eastAsia="仿宋"/>
          <w:b/>
          <w:sz w:val="28"/>
          <w:szCs w:val="28"/>
        </w:rPr>
        <w:br w:type="page"/>
      </w:r>
    </w:p>
    <w:p w14:paraId="75507675">
      <w:pPr>
        <w:rPr>
          <w:rFonts w:ascii="仿宋" w:hAnsi="仿宋" w:eastAsia="仿宋"/>
          <w:b/>
          <w:sz w:val="28"/>
          <w:szCs w:val="28"/>
        </w:rPr>
      </w:pPr>
      <w:r>
        <w:rPr>
          <w:rFonts w:hint="eastAsia" w:ascii="仿宋" w:hAnsi="仿宋" w:eastAsia="仿宋"/>
          <w:b/>
          <w:sz w:val="28"/>
          <w:szCs w:val="28"/>
        </w:rPr>
        <w:t>六、其他（如有要求，请写明）</w:t>
      </w:r>
    </w:p>
    <w:p w14:paraId="7C420359">
      <w:pPr>
        <w:rPr>
          <w:rFonts w:ascii="仿宋" w:hAnsi="仿宋" w:eastAsia="仿宋"/>
          <w:b/>
          <w:bCs/>
          <w:sz w:val="28"/>
          <w:szCs w:val="28"/>
        </w:rPr>
      </w:pPr>
      <w:r>
        <w:rPr>
          <w:rFonts w:hint="eastAsia" w:ascii="仿宋" w:hAnsi="仿宋" w:eastAsia="仿宋"/>
          <w:b/>
          <w:bCs/>
          <w:sz w:val="28"/>
          <w:szCs w:val="28"/>
        </w:rPr>
        <w:t>（一）对服务商的业绩要求</w:t>
      </w:r>
    </w:p>
    <w:p w14:paraId="1A15FE31">
      <w:pPr>
        <w:ind w:firstLine="560" w:firstLineChars="200"/>
        <w:rPr>
          <w:rFonts w:hint="eastAsia" w:ascii="仿宋" w:hAnsi="仿宋" w:eastAsia="仿宋" w:cs="Times New Roman"/>
          <w:sz w:val="28"/>
          <w:szCs w:val="28"/>
        </w:rPr>
      </w:pPr>
      <w:r>
        <w:rPr>
          <w:rFonts w:hint="eastAsia" w:ascii="仿宋" w:hAnsi="仿宋" w:eastAsia="仿宋"/>
          <w:sz w:val="28"/>
          <w:szCs w:val="28"/>
          <w:lang w:val="en-US" w:eastAsia="zh-CN"/>
        </w:rPr>
        <w:t>服务商应</w:t>
      </w:r>
      <w:r>
        <w:rPr>
          <w:rFonts w:hint="eastAsia" w:ascii="仿宋" w:hAnsi="仿宋" w:eastAsia="仿宋"/>
          <w:sz w:val="28"/>
          <w:szCs w:val="28"/>
        </w:rPr>
        <w:t>提供近三年（202</w:t>
      </w:r>
      <w:r>
        <w:rPr>
          <w:rFonts w:hint="eastAsia" w:ascii="仿宋" w:hAnsi="仿宋" w:eastAsia="仿宋"/>
          <w:sz w:val="28"/>
          <w:szCs w:val="28"/>
          <w:lang w:val="en-US" w:eastAsia="zh-CN"/>
        </w:rPr>
        <w:t>2</w:t>
      </w:r>
      <w:r>
        <w:rPr>
          <w:rFonts w:hint="eastAsia" w:ascii="仿宋" w:hAnsi="仿宋" w:eastAsia="仿宋"/>
          <w:sz w:val="28"/>
          <w:szCs w:val="28"/>
        </w:rPr>
        <w:t>年</w:t>
      </w:r>
      <w:r>
        <w:rPr>
          <w:rFonts w:hint="eastAsia" w:ascii="仿宋" w:hAnsi="仿宋" w:eastAsia="仿宋"/>
          <w:sz w:val="28"/>
          <w:szCs w:val="28"/>
          <w:lang w:val="en-US" w:eastAsia="zh-CN"/>
        </w:rPr>
        <w:t>1</w:t>
      </w:r>
      <w:r>
        <w:rPr>
          <w:rFonts w:hint="eastAsia" w:ascii="仿宋" w:hAnsi="仿宋" w:eastAsia="仿宋"/>
          <w:sz w:val="28"/>
          <w:szCs w:val="28"/>
        </w:rPr>
        <w:t>月至今）类似</w:t>
      </w:r>
      <w:r>
        <w:rPr>
          <w:rFonts w:hint="eastAsia" w:ascii="仿宋" w:hAnsi="仿宋" w:eastAsia="仿宋"/>
          <w:sz w:val="28"/>
          <w:szCs w:val="28"/>
          <w:lang w:val="en-US" w:eastAsia="zh-CN"/>
        </w:rPr>
        <w:t>服务</w:t>
      </w:r>
      <w:r>
        <w:rPr>
          <w:rFonts w:hint="eastAsia" w:ascii="仿宋" w:hAnsi="仿宋" w:eastAsia="仿宋"/>
          <w:sz w:val="28"/>
          <w:szCs w:val="28"/>
        </w:rPr>
        <w:t>项目业绩。</w:t>
      </w:r>
      <w:r>
        <w:rPr>
          <w:rFonts w:hint="eastAsia" w:ascii="仿宋" w:hAnsi="仿宋" w:eastAsia="仿宋"/>
          <w:sz w:val="28"/>
          <w:szCs w:val="28"/>
          <w:lang w:val="en-US" w:eastAsia="zh-CN"/>
        </w:rPr>
        <w:t xml:space="preserve">      </w:t>
      </w:r>
      <w:r>
        <w:rPr>
          <w:rFonts w:hint="eastAsia" w:ascii="仿宋" w:hAnsi="仿宋" w:eastAsia="仿宋"/>
          <w:b/>
          <w:bCs/>
          <w:sz w:val="28"/>
          <w:szCs w:val="28"/>
        </w:rPr>
        <w:t>（二）进度要求</w:t>
      </w:r>
      <w:r>
        <w:rPr>
          <w:rFonts w:hint="eastAsia" w:ascii="仿宋" w:hAnsi="仿宋" w:eastAsia="仿宋"/>
          <w:b/>
          <w:bCs/>
          <w:sz w:val="28"/>
          <w:szCs w:val="28"/>
          <w:lang w:eastAsia="zh-CN"/>
        </w:rPr>
        <w:t>：</w:t>
      </w:r>
      <w:r>
        <w:rPr>
          <w:rFonts w:hint="eastAsia" w:ascii="仿宋" w:hAnsi="仿宋" w:eastAsia="仿宋" w:cs="Times New Roman"/>
          <w:sz w:val="28"/>
          <w:szCs w:val="28"/>
          <w:lang w:val="en-US" w:eastAsia="zh-CN"/>
        </w:rPr>
        <w:t>合同签订之日至2025年12月31日，由第三方公司组织项目验收，并出具项目验收报告（如遇特殊情况，经甲方同意服务期限往后顺延）。</w:t>
      </w:r>
      <w:bookmarkStart w:id="0" w:name="_GoBack"/>
      <w:bookmarkEnd w:id="0"/>
    </w:p>
    <w:p w14:paraId="539645FA">
      <w:pPr>
        <w:pStyle w:val="37"/>
        <w:ind w:firstLine="367"/>
        <w:jc w:val="both"/>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1、准备阶段：在签订合同15天内完成打分标准的细化、打分表格准备及人员培训等工作。</w:t>
      </w:r>
    </w:p>
    <w:p w14:paraId="62821D79">
      <w:pPr>
        <w:pStyle w:val="37"/>
        <w:ind w:firstLine="367"/>
        <w:jc w:val="both"/>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2、现场考核阶段：</w:t>
      </w:r>
    </w:p>
    <w:p w14:paraId="539094D3">
      <w:pPr>
        <w:pStyle w:val="37"/>
        <w:ind w:firstLine="367"/>
        <w:jc w:val="both"/>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（1）现场察看，完成现场考核评比打分；</w:t>
      </w:r>
    </w:p>
    <w:p w14:paraId="3F327F78">
      <w:pPr>
        <w:pStyle w:val="37"/>
        <w:ind w:firstLine="367"/>
        <w:jc w:val="both"/>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（2）资料的整理，会议评审，形成初步评选结果；</w:t>
      </w:r>
    </w:p>
    <w:p w14:paraId="628B3175">
      <w:pPr>
        <w:pStyle w:val="37"/>
        <w:ind w:firstLine="367"/>
        <w:jc w:val="both"/>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（3）对评选结果进行初步验收，会议评比。</w:t>
      </w:r>
    </w:p>
    <w:p w14:paraId="4BB5AFE1">
      <w:pPr>
        <w:pStyle w:val="37"/>
        <w:ind w:firstLine="367"/>
        <w:jc w:val="both"/>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3、汇总阶段：</w:t>
      </w:r>
    </w:p>
    <w:p w14:paraId="0C5519C7">
      <w:pPr>
        <w:ind w:firstLine="560" w:firstLineChars="200"/>
        <w:rPr>
          <w:rFonts w:hint="eastAsia" w:ascii="仿宋" w:hAnsi="仿宋" w:eastAsia="仿宋" w:cs="Times New Roman"/>
          <w:sz w:val="28"/>
          <w:szCs w:val="28"/>
        </w:rPr>
      </w:pPr>
      <w:r>
        <w:rPr>
          <w:rFonts w:hint="eastAsia" w:ascii="仿宋" w:hAnsi="仿宋" w:eastAsia="仿宋" w:cs="Times New Roman"/>
          <w:kern w:val="2"/>
          <w:sz w:val="28"/>
          <w:szCs w:val="28"/>
          <w:lang w:val="en-US" w:eastAsia="zh-CN" w:bidi="ar-SA"/>
        </w:rPr>
        <w:t>现场考核结束两周内，对所有的评比资料进行整理，总结经验及其问题，形成评比成果报告。</w:t>
      </w:r>
    </w:p>
    <w:p w14:paraId="5ECBC183">
      <w:pPr>
        <w:rPr>
          <w:rFonts w:hint="eastAsia" w:ascii="仿宋" w:hAnsi="仿宋" w:eastAsia="仿宋"/>
          <w:b/>
          <w:bCs/>
          <w:sz w:val="28"/>
          <w:szCs w:val="28"/>
          <w:lang w:eastAsia="zh-CN"/>
        </w:rPr>
      </w:pPr>
      <w:r>
        <w:rPr>
          <w:rFonts w:hint="eastAsia" w:ascii="仿宋" w:hAnsi="仿宋" w:eastAsia="仿宋"/>
          <w:b/>
          <w:bCs/>
          <w:sz w:val="28"/>
          <w:szCs w:val="28"/>
        </w:rPr>
        <w:t>（三）成果交付要求</w:t>
      </w:r>
      <w:r>
        <w:rPr>
          <w:rFonts w:hint="eastAsia" w:ascii="仿宋" w:hAnsi="仿宋" w:eastAsia="仿宋"/>
          <w:b/>
          <w:bCs/>
          <w:sz w:val="28"/>
          <w:szCs w:val="28"/>
          <w:lang w:eastAsia="zh-CN"/>
        </w:rPr>
        <w:t>：</w:t>
      </w:r>
    </w:p>
    <w:p w14:paraId="2D2A76AA">
      <w:pPr>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lang w:val="en-US" w:eastAsia="zh-CN"/>
        </w:rPr>
        <w:t>1.验收评定现场考察</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照片及记录资料；</w:t>
      </w:r>
    </w:p>
    <w:p w14:paraId="0E603BC2">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2.验收评定会议</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专家评定签到、考核、结论等资料；</w:t>
      </w:r>
    </w:p>
    <w:p w14:paraId="3BC09FB8">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3.验收评定过程中的全过程资料；</w:t>
      </w:r>
    </w:p>
    <w:p w14:paraId="37151D17">
      <w:pPr>
        <w:ind w:firstLine="560" w:firstLineChars="200"/>
        <w:rPr>
          <w:rFonts w:hint="eastAsia" w:ascii="仿宋" w:hAnsi="仿宋" w:eastAsia="仿宋" w:cs="Times New Roman"/>
          <w:sz w:val="28"/>
          <w:szCs w:val="28"/>
        </w:rPr>
      </w:pPr>
      <w:r>
        <w:rPr>
          <w:rFonts w:hint="eastAsia" w:ascii="仿宋" w:hAnsi="仿宋" w:eastAsia="仿宋" w:cs="Times New Roman"/>
          <w:sz w:val="28"/>
          <w:szCs w:val="28"/>
          <w:lang w:val="en-US" w:eastAsia="zh-CN"/>
        </w:rPr>
        <w:t>4.本次24个子项目全部验收完成后，需提供每个子项目验收成果文件各6份资料汇编装订成册，电子版文件3份等本次验收评定的所有资料。</w:t>
      </w:r>
    </w:p>
    <w:p w14:paraId="4BD9966D">
      <w:pPr>
        <w:rPr>
          <w:rFonts w:ascii="仿宋" w:hAnsi="仿宋" w:eastAsia="仿宋"/>
          <w:b/>
          <w:bCs/>
          <w:sz w:val="28"/>
          <w:szCs w:val="28"/>
        </w:rPr>
      </w:pPr>
      <w:r>
        <w:rPr>
          <w:rFonts w:hint="eastAsia" w:ascii="仿宋" w:hAnsi="仿宋" w:eastAsia="仿宋"/>
          <w:b/>
          <w:bCs/>
          <w:sz w:val="28"/>
          <w:szCs w:val="28"/>
        </w:rPr>
        <w:t>（四</w:t>
      </w:r>
      <w:r>
        <w:rPr>
          <w:rFonts w:ascii="仿宋" w:hAnsi="仿宋" w:eastAsia="仿宋"/>
          <w:b/>
          <w:bCs/>
          <w:sz w:val="28"/>
          <w:szCs w:val="28"/>
        </w:rPr>
        <w:t>）</w:t>
      </w:r>
      <w:r>
        <w:rPr>
          <w:rFonts w:hint="eastAsia" w:ascii="仿宋" w:hAnsi="仿宋" w:eastAsia="仿宋"/>
          <w:b/>
          <w:bCs/>
          <w:sz w:val="28"/>
          <w:szCs w:val="28"/>
        </w:rPr>
        <w:t>质量验收标准或规范</w:t>
      </w:r>
    </w:p>
    <w:p w14:paraId="70A8D082">
      <w:pPr>
        <w:ind w:firstLine="560" w:firstLineChars="200"/>
        <w:rPr>
          <w:rFonts w:hint="eastAsia" w:ascii="仿宋" w:hAnsi="仿宋" w:eastAsia="仿宋"/>
          <w:sz w:val="28"/>
          <w:szCs w:val="28"/>
        </w:rPr>
      </w:pPr>
      <w:r>
        <w:rPr>
          <w:rFonts w:hint="eastAsia" w:ascii="仿宋" w:hAnsi="仿宋" w:eastAsia="仿宋"/>
          <w:sz w:val="28"/>
          <w:szCs w:val="28"/>
        </w:rPr>
        <w:t>根据国家现代农业产业园项目的相关规定和标准，制定出详细、科学、合理的验收标准，包括工程质量的各项技术要求和验收程序等。</w:t>
      </w:r>
    </w:p>
    <w:p w14:paraId="5AE504B1">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1.《土地整治项目设计报告编制规程》（TD/T1038-2013）；</w:t>
      </w:r>
    </w:p>
    <w:p w14:paraId="586F6691">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2.《土地整治项目工程量计算规则》（TD/T1039-2013）；</w:t>
      </w:r>
    </w:p>
    <w:p w14:paraId="099C4E3A">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3.《土地开发整理项目验收规程》（TD/T1013-2000）；</w:t>
      </w:r>
    </w:p>
    <w:p w14:paraId="6F16FA88">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4.《高标准基本农田建设标准》（TD/T1033-2012）；</w:t>
      </w:r>
    </w:p>
    <w:p w14:paraId="78924978">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5.《高标准农田建设通则》（GB/T30600-2022</w:t>
      </w:r>
    </w:p>
    <w:p w14:paraId="78DC1ACE">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6.《农用地质量分等规程》（GB/T28407-2012）；</w:t>
      </w:r>
    </w:p>
    <w:p w14:paraId="0FFDA04F">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7.《农用地定级规程》（GB/T28405-2012）；</w:t>
      </w:r>
    </w:p>
    <w:p w14:paraId="00381D14">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8.《灌溉与排水工程设计规范》（GB50288-1999）；</w:t>
      </w:r>
    </w:p>
    <w:p w14:paraId="343317A4">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9.《农田灌溉水质标准》（GB5084-2021）；</w:t>
      </w:r>
    </w:p>
    <w:p w14:paraId="3D5BE6AD">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10.《农田低压管道输水灌溉工程技术规范》（GB/T20203-2006）</w:t>
      </w:r>
    </w:p>
    <w:p w14:paraId="1668DF33">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《供配电系统设计规范》（GB 50052-2009）；</w:t>
      </w:r>
    </w:p>
    <w:p w14:paraId="5DC916F5">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11.《农村低压电力技术规程》（DL/T499-2001）；</w:t>
      </w:r>
    </w:p>
    <w:p w14:paraId="4764C46B">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12.《陕西省土地整治项目建设标准（试行）》（DB61∕T991.1-2015）；</w:t>
      </w:r>
    </w:p>
    <w:p w14:paraId="0DDBE2B6">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13.《陕西省行业用水定额》(DB61/T943-2020)</w:t>
      </w:r>
    </w:p>
    <w:p w14:paraId="7803AE23">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14.《公路水泥混凝土路面施工技术规范》JTGF30-2003；</w:t>
      </w:r>
    </w:p>
    <w:p w14:paraId="1CCA0ADD">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15.《公路路面基层施工技术规范》JTJ034-2000；</w:t>
      </w:r>
    </w:p>
    <w:p w14:paraId="38FB0EB5">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16.《公路工程技术标准》JTGB01-2014；</w:t>
      </w:r>
    </w:p>
    <w:p w14:paraId="3244DE56">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17.《农业机械田间行走道路技术规范》NY/T2194-2012。</w:t>
      </w:r>
    </w:p>
    <w:p w14:paraId="43E42C9C">
      <w:pPr>
        <w:ind w:firstLine="560" w:firstLineChars="200"/>
        <w:rPr>
          <w:rFonts w:hint="eastAsia" w:ascii="仿宋" w:hAnsi="仿宋" w:eastAsia="仿宋"/>
          <w:sz w:val="28"/>
          <w:szCs w:val="28"/>
        </w:rPr>
      </w:pPr>
      <w:r>
        <w:rPr>
          <w:rFonts w:hint="eastAsia" w:ascii="仿宋" w:hAnsi="仿宋" w:eastAsia="仿宋" w:cs="Times New Roman"/>
          <w:sz w:val="28"/>
          <w:szCs w:val="28"/>
          <w:lang w:val="en-US" w:eastAsia="zh-CN"/>
        </w:rPr>
        <w:t>18.其他相关各专业工程质量验收规范、标准。</w:t>
      </w:r>
    </w:p>
    <w:p w14:paraId="30DD718A">
      <w:pPr>
        <w:rPr>
          <w:rFonts w:hint="eastAsia" w:ascii="仿宋" w:hAnsi="仿宋" w:eastAsia="仿宋" w:cs="Times New Roman"/>
          <w:b/>
          <w:bCs/>
          <w:sz w:val="28"/>
          <w:szCs w:val="28"/>
          <w:lang w:val="en-US" w:eastAsia="zh-CN"/>
        </w:rPr>
      </w:pPr>
      <w:r>
        <w:rPr>
          <w:rFonts w:hint="eastAsia" w:ascii="仿宋" w:hAnsi="仿宋" w:eastAsia="仿宋" w:cs="Times New Roman"/>
          <w:b/>
          <w:bCs/>
          <w:sz w:val="28"/>
          <w:szCs w:val="28"/>
          <w:lang w:val="en-US" w:eastAsia="zh-CN"/>
        </w:rPr>
        <w:br w:type="page"/>
      </w:r>
    </w:p>
    <w:p w14:paraId="52EDA5F1">
      <w:pPr>
        <w:ind w:firstLine="562" w:firstLineChars="200"/>
        <w:rPr>
          <w:rFonts w:hint="eastAsia" w:ascii="仿宋" w:hAnsi="仿宋" w:eastAsia="仿宋" w:cs="Times New Roman"/>
          <w:b/>
          <w:bCs/>
          <w:sz w:val="28"/>
          <w:szCs w:val="28"/>
          <w:lang w:val="en-US" w:eastAsia="zh-CN"/>
        </w:rPr>
      </w:pPr>
      <w:r>
        <w:rPr>
          <w:rFonts w:hint="eastAsia" w:ascii="仿宋" w:hAnsi="仿宋" w:eastAsia="仿宋" w:cs="Times New Roman"/>
          <w:b/>
          <w:bCs/>
          <w:sz w:val="28"/>
          <w:szCs w:val="28"/>
          <w:lang w:val="en-US" w:eastAsia="zh-CN"/>
        </w:rPr>
        <w:t>（五）违约责任</w:t>
      </w:r>
    </w:p>
    <w:p w14:paraId="108BB6EE">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1．甲乙双方必须遵守本合同并执行合同中的各项规定，保证本合同的正常履行。</w:t>
      </w:r>
    </w:p>
    <w:p w14:paraId="719A3C98">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667E675">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3.合同争议的解决方式：在执行本合同中发生的或与本合同有关的争端，双方应通过友好协商解决，经协商在30天内不能达成协议时，向甲方所在地有管辖权的人民法院提起诉讼。</w:t>
      </w:r>
    </w:p>
    <w:sectPr>
      <w:pgSz w:w="11906" w:h="16838"/>
      <w:pgMar w:top="1440" w:right="1800" w:bottom="1135"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MjNmNGZiODgyN2IxOTJkNWU1Zjc2OTcxNDc5YmQifQ=="/>
  </w:docVars>
  <w:rsids>
    <w:rsidRoot w:val="0022387C"/>
    <w:rsid w:val="0000159C"/>
    <w:rsid w:val="000019FA"/>
    <w:rsid w:val="00002BB3"/>
    <w:rsid w:val="00003F53"/>
    <w:rsid w:val="00004F9A"/>
    <w:rsid w:val="00006A52"/>
    <w:rsid w:val="00012137"/>
    <w:rsid w:val="00012844"/>
    <w:rsid w:val="00012F9B"/>
    <w:rsid w:val="00013929"/>
    <w:rsid w:val="00014DAF"/>
    <w:rsid w:val="00015802"/>
    <w:rsid w:val="00016042"/>
    <w:rsid w:val="00022F41"/>
    <w:rsid w:val="00023261"/>
    <w:rsid w:val="000234CF"/>
    <w:rsid w:val="000235C8"/>
    <w:rsid w:val="00027E6B"/>
    <w:rsid w:val="0003251F"/>
    <w:rsid w:val="00032BB4"/>
    <w:rsid w:val="00033377"/>
    <w:rsid w:val="00033B5A"/>
    <w:rsid w:val="00037F2F"/>
    <w:rsid w:val="00037FD3"/>
    <w:rsid w:val="000403A2"/>
    <w:rsid w:val="00040799"/>
    <w:rsid w:val="00040973"/>
    <w:rsid w:val="00043830"/>
    <w:rsid w:val="000440AF"/>
    <w:rsid w:val="00044F32"/>
    <w:rsid w:val="00051EF3"/>
    <w:rsid w:val="000543B4"/>
    <w:rsid w:val="00054879"/>
    <w:rsid w:val="000556F1"/>
    <w:rsid w:val="0005692F"/>
    <w:rsid w:val="00061A13"/>
    <w:rsid w:val="00063EEF"/>
    <w:rsid w:val="00064071"/>
    <w:rsid w:val="00064386"/>
    <w:rsid w:val="00067A39"/>
    <w:rsid w:val="00067D44"/>
    <w:rsid w:val="0007053B"/>
    <w:rsid w:val="00070AA6"/>
    <w:rsid w:val="0007534F"/>
    <w:rsid w:val="000770B7"/>
    <w:rsid w:val="00077B80"/>
    <w:rsid w:val="000857F2"/>
    <w:rsid w:val="00090002"/>
    <w:rsid w:val="000906B5"/>
    <w:rsid w:val="000911CC"/>
    <w:rsid w:val="000951C6"/>
    <w:rsid w:val="00095A8D"/>
    <w:rsid w:val="00096428"/>
    <w:rsid w:val="00097CDB"/>
    <w:rsid w:val="000A0237"/>
    <w:rsid w:val="000A2583"/>
    <w:rsid w:val="000B5ACF"/>
    <w:rsid w:val="000B6858"/>
    <w:rsid w:val="000C048C"/>
    <w:rsid w:val="000C078B"/>
    <w:rsid w:val="000C21A4"/>
    <w:rsid w:val="000C538D"/>
    <w:rsid w:val="000C59A5"/>
    <w:rsid w:val="000D0AF3"/>
    <w:rsid w:val="000D0DE1"/>
    <w:rsid w:val="000D1277"/>
    <w:rsid w:val="000D4097"/>
    <w:rsid w:val="000E3FB5"/>
    <w:rsid w:val="000E6AE7"/>
    <w:rsid w:val="000F0C8A"/>
    <w:rsid w:val="000F1A9A"/>
    <w:rsid w:val="000F27AD"/>
    <w:rsid w:val="000F2BEC"/>
    <w:rsid w:val="000F35AB"/>
    <w:rsid w:val="000F3645"/>
    <w:rsid w:val="000F4ECB"/>
    <w:rsid w:val="000F66FE"/>
    <w:rsid w:val="000F6831"/>
    <w:rsid w:val="000F6A10"/>
    <w:rsid w:val="000F735B"/>
    <w:rsid w:val="000F7DA6"/>
    <w:rsid w:val="00100C1B"/>
    <w:rsid w:val="00103379"/>
    <w:rsid w:val="00106530"/>
    <w:rsid w:val="00107B8A"/>
    <w:rsid w:val="001101BD"/>
    <w:rsid w:val="00111F0F"/>
    <w:rsid w:val="001131D6"/>
    <w:rsid w:val="00113B9B"/>
    <w:rsid w:val="00121FC0"/>
    <w:rsid w:val="00122D76"/>
    <w:rsid w:val="001257D4"/>
    <w:rsid w:val="0013015E"/>
    <w:rsid w:val="00131904"/>
    <w:rsid w:val="0013342E"/>
    <w:rsid w:val="001338D9"/>
    <w:rsid w:val="00133ADB"/>
    <w:rsid w:val="00134EE2"/>
    <w:rsid w:val="001351E3"/>
    <w:rsid w:val="00135AA2"/>
    <w:rsid w:val="00136D4A"/>
    <w:rsid w:val="00137E7B"/>
    <w:rsid w:val="00142244"/>
    <w:rsid w:val="001454AD"/>
    <w:rsid w:val="001455F6"/>
    <w:rsid w:val="001456C7"/>
    <w:rsid w:val="0015361E"/>
    <w:rsid w:val="00156ED5"/>
    <w:rsid w:val="001630D0"/>
    <w:rsid w:val="00164101"/>
    <w:rsid w:val="00164EE1"/>
    <w:rsid w:val="00166FD9"/>
    <w:rsid w:val="00167ECE"/>
    <w:rsid w:val="0017054A"/>
    <w:rsid w:val="00171A61"/>
    <w:rsid w:val="00173749"/>
    <w:rsid w:val="00173A35"/>
    <w:rsid w:val="0017410F"/>
    <w:rsid w:val="00174285"/>
    <w:rsid w:val="00175756"/>
    <w:rsid w:val="00176F0E"/>
    <w:rsid w:val="00180B10"/>
    <w:rsid w:val="00184F72"/>
    <w:rsid w:val="00187846"/>
    <w:rsid w:val="00191A7E"/>
    <w:rsid w:val="00193B5F"/>
    <w:rsid w:val="001947E8"/>
    <w:rsid w:val="00194890"/>
    <w:rsid w:val="00196A1C"/>
    <w:rsid w:val="001A2103"/>
    <w:rsid w:val="001A5309"/>
    <w:rsid w:val="001A5764"/>
    <w:rsid w:val="001B0699"/>
    <w:rsid w:val="001B2019"/>
    <w:rsid w:val="001B26DC"/>
    <w:rsid w:val="001B3EEA"/>
    <w:rsid w:val="001B49FD"/>
    <w:rsid w:val="001C0BA3"/>
    <w:rsid w:val="001C0BBD"/>
    <w:rsid w:val="001C25ED"/>
    <w:rsid w:val="001D1BCB"/>
    <w:rsid w:val="001D22C0"/>
    <w:rsid w:val="001D4171"/>
    <w:rsid w:val="001D576E"/>
    <w:rsid w:val="001D70BC"/>
    <w:rsid w:val="001E2BB9"/>
    <w:rsid w:val="001E6A70"/>
    <w:rsid w:val="001F2059"/>
    <w:rsid w:val="001F49A1"/>
    <w:rsid w:val="001F4ACC"/>
    <w:rsid w:val="001F7532"/>
    <w:rsid w:val="00201795"/>
    <w:rsid w:val="0020498C"/>
    <w:rsid w:val="00207790"/>
    <w:rsid w:val="00210CFC"/>
    <w:rsid w:val="00210FBE"/>
    <w:rsid w:val="002125C8"/>
    <w:rsid w:val="00213205"/>
    <w:rsid w:val="002137AF"/>
    <w:rsid w:val="002174B0"/>
    <w:rsid w:val="00220787"/>
    <w:rsid w:val="0022387C"/>
    <w:rsid w:val="00230C6A"/>
    <w:rsid w:val="00233D53"/>
    <w:rsid w:val="002345B9"/>
    <w:rsid w:val="00237A3F"/>
    <w:rsid w:val="00237C8C"/>
    <w:rsid w:val="0024210D"/>
    <w:rsid w:val="00244C29"/>
    <w:rsid w:val="00247B11"/>
    <w:rsid w:val="00250468"/>
    <w:rsid w:val="00250A0D"/>
    <w:rsid w:val="00250B6E"/>
    <w:rsid w:val="00252050"/>
    <w:rsid w:val="00253B74"/>
    <w:rsid w:val="002547E0"/>
    <w:rsid w:val="00255DBC"/>
    <w:rsid w:val="0025777A"/>
    <w:rsid w:val="00260306"/>
    <w:rsid w:val="00261898"/>
    <w:rsid w:val="00264014"/>
    <w:rsid w:val="0026501F"/>
    <w:rsid w:val="00266611"/>
    <w:rsid w:val="00267AE5"/>
    <w:rsid w:val="00267C8A"/>
    <w:rsid w:val="00271136"/>
    <w:rsid w:val="00273219"/>
    <w:rsid w:val="002742EA"/>
    <w:rsid w:val="0027449B"/>
    <w:rsid w:val="00276641"/>
    <w:rsid w:val="0028033D"/>
    <w:rsid w:val="00282837"/>
    <w:rsid w:val="00291777"/>
    <w:rsid w:val="0029384E"/>
    <w:rsid w:val="002938B0"/>
    <w:rsid w:val="002961E2"/>
    <w:rsid w:val="00296372"/>
    <w:rsid w:val="00297703"/>
    <w:rsid w:val="00297866"/>
    <w:rsid w:val="002A3B25"/>
    <w:rsid w:val="002A6815"/>
    <w:rsid w:val="002B35C4"/>
    <w:rsid w:val="002B36C2"/>
    <w:rsid w:val="002B59BE"/>
    <w:rsid w:val="002B65AB"/>
    <w:rsid w:val="002B696D"/>
    <w:rsid w:val="002C4511"/>
    <w:rsid w:val="002D2B5F"/>
    <w:rsid w:val="002D327B"/>
    <w:rsid w:val="002D41DD"/>
    <w:rsid w:val="002D7418"/>
    <w:rsid w:val="002E1660"/>
    <w:rsid w:val="002E43F6"/>
    <w:rsid w:val="002E7C3E"/>
    <w:rsid w:val="002F1C19"/>
    <w:rsid w:val="002F1C7D"/>
    <w:rsid w:val="002F1EC9"/>
    <w:rsid w:val="002F25EC"/>
    <w:rsid w:val="002F2EAB"/>
    <w:rsid w:val="002F30DD"/>
    <w:rsid w:val="002F3224"/>
    <w:rsid w:val="002F7D7D"/>
    <w:rsid w:val="00300067"/>
    <w:rsid w:val="00300B27"/>
    <w:rsid w:val="0030123B"/>
    <w:rsid w:val="00301FAE"/>
    <w:rsid w:val="003024CF"/>
    <w:rsid w:val="00305BAD"/>
    <w:rsid w:val="00306470"/>
    <w:rsid w:val="00311862"/>
    <w:rsid w:val="00316D60"/>
    <w:rsid w:val="003172BB"/>
    <w:rsid w:val="00322208"/>
    <w:rsid w:val="003245F8"/>
    <w:rsid w:val="00325D47"/>
    <w:rsid w:val="00325EF1"/>
    <w:rsid w:val="00332A7C"/>
    <w:rsid w:val="00337CFC"/>
    <w:rsid w:val="003406B1"/>
    <w:rsid w:val="00343305"/>
    <w:rsid w:val="003443D3"/>
    <w:rsid w:val="003450CD"/>
    <w:rsid w:val="00345F35"/>
    <w:rsid w:val="00351734"/>
    <w:rsid w:val="00354FCF"/>
    <w:rsid w:val="00360830"/>
    <w:rsid w:val="003635C1"/>
    <w:rsid w:val="00364896"/>
    <w:rsid w:val="00366A2C"/>
    <w:rsid w:val="00372CF8"/>
    <w:rsid w:val="00373AE9"/>
    <w:rsid w:val="00374506"/>
    <w:rsid w:val="0037495D"/>
    <w:rsid w:val="00375819"/>
    <w:rsid w:val="00375C89"/>
    <w:rsid w:val="00376DAF"/>
    <w:rsid w:val="003833FB"/>
    <w:rsid w:val="00383F8F"/>
    <w:rsid w:val="00384AC1"/>
    <w:rsid w:val="003872CB"/>
    <w:rsid w:val="00387AFC"/>
    <w:rsid w:val="00390290"/>
    <w:rsid w:val="0039216D"/>
    <w:rsid w:val="00392EBD"/>
    <w:rsid w:val="00393459"/>
    <w:rsid w:val="003943D1"/>
    <w:rsid w:val="0039449C"/>
    <w:rsid w:val="00395695"/>
    <w:rsid w:val="003A0002"/>
    <w:rsid w:val="003A0295"/>
    <w:rsid w:val="003A0D83"/>
    <w:rsid w:val="003B0D75"/>
    <w:rsid w:val="003B3207"/>
    <w:rsid w:val="003C3325"/>
    <w:rsid w:val="003D2606"/>
    <w:rsid w:val="003D39C7"/>
    <w:rsid w:val="003D45F5"/>
    <w:rsid w:val="003D6B60"/>
    <w:rsid w:val="003E010E"/>
    <w:rsid w:val="003E1D81"/>
    <w:rsid w:val="003E7874"/>
    <w:rsid w:val="003F60A3"/>
    <w:rsid w:val="004001BE"/>
    <w:rsid w:val="0040124D"/>
    <w:rsid w:val="004017C8"/>
    <w:rsid w:val="0040181A"/>
    <w:rsid w:val="004024C2"/>
    <w:rsid w:val="004068A7"/>
    <w:rsid w:val="00406C11"/>
    <w:rsid w:val="004106B2"/>
    <w:rsid w:val="00412CBC"/>
    <w:rsid w:val="004156E2"/>
    <w:rsid w:val="0042388D"/>
    <w:rsid w:val="00427ABD"/>
    <w:rsid w:val="004317AB"/>
    <w:rsid w:val="00431DBF"/>
    <w:rsid w:val="00433512"/>
    <w:rsid w:val="0043432D"/>
    <w:rsid w:val="00441D7B"/>
    <w:rsid w:val="00444250"/>
    <w:rsid w:val="00444298"/>
    <w:rsid w:val="004456C5"/>
    <w:rsid w:val="00454666"/>
    <w:rsid w:val="004574A4"/>
    <w:rsid w:val="00463236"/>
    <w:rsid w:val="004657D3"/>
    <w:rsid w:val="0046690A"/>
    <w:rsid w:val="0046782F"/>
    <w:rsid w:val="00471E1E"/>
    <w:rsid w:val="0047278F"/>
    <w:rsid w:val="0047590B"/>
    <w:rsid w:val="00490F98"/>
    <w:rsid w:val="00491349"/>
    <w:rsid w:val="00493684"/>
    <w:rsid w:val="00493E48"/>
    <w:rsid w:val="00496ACE"/>
    <w:rsid w:val="00497530"/>
    <w:rsid w:val="004A00FD"/>
    <w:rsid w:val="004A5CFF"/>
    <w:rsid w:val="004A61D7"/>
    <w:rsid w:val="004A6B5A"/>
    <w:rsid w:val="004B1026"/>
    <w:rsid w:val="004B5992"/>
    <w:rsid w:val="004C093C"/>
    <w:rsid w:val="004C0B7A"/>
    <w:rsid w:val="004C0CA0"/>
    <w:rsid w:val="004C2A01"/>
    <w:rsid w:val="004C5B48"/>
    <w:rsid w:val="004C6493"/>
    <w:rsid w:val="004D2D8E"/>
    <w:rsid w:val="004D4879"/>
    <w:rsid w:val="004D7C23"/>
    <w:rsid w:val="004D7F2C"/>
    <w:rsid w:val="004E07B6"/>
    <w:rsid w:val="004E0B6D"/>
    <w:rsid w:val="004E63AF"/>
    <w:rsid w:val="004F411F"/>
    <w:rsid w:val="004F60D3"/>
    <w:rsid w:val="004F7D8F"/>
    <w:rsid w:val="0050182A"/>
    <w:rsid w:val="00502DB5"/>
    <w:rsid w:val="005053C1"/>
    <w:rsid w:val="00506ECC"/>
    <w:rsid w:val="00510D3F"/>
    <w:rsid w:val="00511E18"/>
    <w:rsid w:val="00512B77"/>
    <w:rsid w:val="00515ADE"/>
    <w:rsid w:val="00515E63"/>
    <w:rsid w:val="005176F4"/>
    <w:rsid w:val="005203BA"/>
    <w:rsid w:val="005220F8"/>
    <w:rsid w:val="00522932"/>
    <w:rsid w:val="0052539A"/>
    <w:rsid w:val="005309DD"/>
    <w:rsid w:val="0053320F"/>
    <w:rsid w:val="005406CD"/>
    <w:rsid w:val="00542C65"/>
    <w:rsid w:val="00544037"/>
    <w:rsid w:val="0054537C"/>
    <w:rsid w:val="00547AD0"/>
    <w:rsid w:val="005509F0"/>
    <w:rsid w:val="00553778"/>
    <w:rsid w:val="00553AC5"/>
    <w:rsid w:val="00554646"/>
    <w:rsid w:val="005555A0"/>
    <w:rsid w:val="0056216F"/>
    <w:rsid w:val="005627E9"/>
    <w:rsid w:val="00572506"/>
    <w:rsid w:val="00573AC9"/>
    <w:rsid w:val="00581DBA"/>
    <w:rsid w:val="00581F60"/>
    <w:rsid w:val="005829C2"/>
    <w:rsid w:val="00582A46"/>
    <w:rsid w:val="0058322B"/>
    <w:rsid w:val="00583A5C"/>
    <w:rsid w:val="0058471F"/>
    <w:rsid w:val="0058487A"/>
    <w:rsid w:val="00592CFD"/>
    <w:rsid w:val="00593C8A"/>
    <w:rsid w:val="005960B9"/>
    <w:rsid w:val="005A3DFC"/>
    <w:rsid w:val="005A5B0F"/>
    <w:rsid w:val="005A69F8"/>
    <w:rsid w:val="005A6B45"/>
    <w:rsid w:val="005A7B9D"/>
    <w:rsid w:val="005B0579"/>
    <w:rsid w:val="005B27CD"/>
    <w:rsid w:val="005B314D"/>
    <w:rsid w:val="005B353B"/>
    <w:rsid w:val="005B547C"/>
    <w:rsid w:val="005B65A5"/>
    <w:rsid w:val="005B67BE"/>
    <w:rsid w:val="005B7116"/>
    <w:rsid w:val="005C494A"/>
    <w:rsid w:val="005C6C4F"/>
    <w:rsid w:val="005D000E"/>
    <w:rsid w:val="005D62E5"/>
    <w:rsid w:val="005D7216"/>
    <w:rsid w:val="005E12F7"/>
    <w:rsid w:val="005E339B"/>
    <w:rsid w:val="005E548A"/>
    <w:rsid w:val="005E5BCC"/>
    <w:rsid w:val="005E5CCE"/>
    <w:rsid w:val="005E6CCC"/>
    <w:rsid w:val="005F19BB"/>
    <w:rsid w:val="005F3B5B"/>
    <w:rsid w:val="006022C0"/>
    <w:rsid w:val="00602E42"/>
    <w:rsid w:val="00603657"/>
    <w:rsid w:val="0060479B"/>
    <w:rsid w:val="00606A55"/>
    <w:rsid w:val="00611AC2"/>
    <w:rsid w:val="00613BB6"/>
    <w:rsid w:val="0061777B"/>
    <w:rsid w:val="00624066"/>
    <w:rsid w:val="00624620"/>
    <w:rsid w:val="00624946"/>
    <w:rsid w:val="00625173"/>
    <w:rsid w:val="00630CCB"/>
    <w:rsid w:val="00631E71"/>
    <w:rsid w:val="0063350A"/>
    <w:rsid w:val="006340A0"/>
    <w:rsid w:val="0063581A"/>
    <w:rsid w:val="00636BF4"/>
    <w:rsid w:val="00642CB1"/>
    <w:rsid w:val="006431A9"/>
    <w:rsid w:val="006466DF"/>
    <w:rsid w:val="006518D0"/>
    <w:rsid w:val="00652393"/>
    <w:rsid w:val="00656003"/>
    <w:rsid w:val="006571DD"/>
    <w:rsid w:val="0065774D"/>
    <w:rsid w:val="0065792C"/>
    <w:rsid w:val="0066668A"/>
    <w:rsid w:val="00675065"/>
    <w:rsid w:val="00675563"/>
    <w:rsid w:val="00675632"/>
    <w:rsid w:val="00685346"/>
    <w:rsid w:val="00685B24"/>
    <w:rsid w:val="006870E8"/>
    <w:rsid w:val="00690BC5"/>
    <w:rsid w:val="00690C8E"/>
    <w:rsid w:val="006933DD"/>
    <w:rsid w:val="0069471D"/>
    <w:rsid w:val="00695670"/>
    <w:rsid w:val="00695E20"/>
    <w:rsid w:val="006A3BA0"/>
    <w:rsid w:val="006A4EC6"/>
    <w:rsid w:val="006A6DF3"/>
    <w:rsid w:val="006B20D5"/>
    <w:rsid w:val="006B34F6"/>
    <w:rsid w:val="006B4952"/>
    <w:rsid w:val="006B5EA1"/>
    <w:rsid w:val="006B7F10"/>
    <w:rsid w:val="006C042B"/>
    <w:rsid w:val="006C2543"/>
    <w:rsid w:val="006C7C59"/>
    <w:rsid w:val="006D0312"/>
    <w:rsid w:val="006D214E"/>
    <w:rsid w:val="006D2DEA"/>
    <w:rsid w:val="006D2E9C"/>
    <w:rsid w:val="006D30BC"/>
    <w:rsid w:val="006E1A0E"/>
    <w:rsid w:val="006E6E8B"/>
    <w:rsid w:val="006E7C76"/>
    <w:rsid w:val="006F04CD"/>
    <w:rsid w:val="006F07C9"/>
    <w:rsid w:val="006F0A6B"/>
    <w:rsid w:val="006F0F75"/>
    <w:rsid w:val="006F5AC8"/>
    <w:rsid w:val="006F5F50"/>
    <w:rsid w:val="006F721C"/>
    <w:rsid w:val="00704218"/>
    <w:rsid w:val="00706102"/>
    <w:rsid w:val="00711356"/>
    <w:rsid w:val="00716375"/>
    <w:rsid w:val="00724763"/>
    <w:rsid w:val="007326D4"/>
    <w:rsid w:val="007331C5"/>
    <w:rsid w:val="00733D26"/>
    <w:rsid w:val="00733E96"/>
    <w:rsid w:val="00734BE2"/>
    <w:rsid w:val="00734DBA"/>
    <w:rsid w:val="007405AB"/>
    <w:rsid w:val="0074169B"/>
    <w:rsid w:val="007416A5"/>
    <w:rsid w:val="00742326"/>
    <w:rsid w:val="00743F8B"/>
    <w:rsid w:val="007552A7"/>
    <w:rsid w:val="00757FC1"/>
    <w:rsid w:val="00760265"/>
    <w:rsid w:val="00763522"/>
    <w:rsid w:val="00770D89"/>
    <w:rsid w:val="00771FBD"/>
    <w:rsid w:val="00772751"/>
    <w:rsid w:val="00772BFA"/>
    <w:rsid w:val="007732E5"/>
    <w:rsid w:val="00773A1F"/>
    <w:rsid w:val="007750D4"/>
    <w:rsid w:val="00775725"/>
    <w:rsid w:val="00781A2A"/>
    <w:rsid w:val="0079003B"/>
    <w:rsid w:val="00797959"/>
    <w:rsid w:val="007A0298"/>
    <w:rsid w:val="007A0EED"/>
    <w:rsid w:val="007A1F61"/>
    <w:rsid w:val="007A2D00"/>
    <w:rsid w:val="007A3433"/>
    <w:rsid w:val="007A5B38"/>
    <w:rsid w:val="007A7AC5"/>
    <w:rsid w:val="007B1707"/>
    <w:rsid w:val="007B1F48"/>
    <w:rsid w:val="007B4190"/>
    <w:rsid w:val="007B5A22"/>
    <w:rsid w:val="007B7795"/>
    <w:rsid w:val="007C1E2E"/>
    <w:rsid w:val="007C32E6"/>
    <w:rsid w:val="007C6103"/>
    <w:rsid w:val="007C7079"/>
    <w:rsid w:val="007C745E"/>
    <w:rsid w:val="007C7E4A"/>
    <w:rsid w:val="007D249E"/>
    <w:rsid w:val="007D2EE8"/>
    <w:rsid w:val="007D4745"/>
    <w:rsid w:val="007D596E"/>
    <w:rsid w:val="007D61F2"/>
    <w:rsid w:val="007D6288"/>
    <w:rsid w:val="007D7D00"/>
    <w:rsid w:val="007E1576"/>
    <w:rsid w:val="007E2BD2"/>
    <w:rsid w:val="007E3D61"/>
    <w:rsid w:val="007E5F41"/>
    <w:rsid w:val="007E6CF2"/>
    <w:rsid w:val="007F1EB4"/>
    <w:rsid w:val="007F5493"/>
    <w:rsid w:val="007F5B53"/>
    <w:rsid w:val="007F6DC7"/>
    <w:rsid w:val="0080075E"/>
    <w:rsid w:val="00802AAC"/>
    <w:rsid w:val="00806FED"/>
    <w:rsid w:val="00811115"/>
    <w:rsid w:val="008134C7"/>
    <w:rsid w:val="008139EB"/>
    <w:rsid w:val="008150A6"/>
    <w:rsid w:val="008151E2"/>
    <w:rsid w:val="00816091"/>
    <w:rsid w:val="00816182"/>
    <w:rsid w:val="00821BA2"/>
    <w:rsid w:val="00822824"/>
    <w:rsid w:val="008228B9"/>
    <w:rsid w:val="00824639"/>
    <w:rsid w:val="00826C95"/>
    <w:rsid w:val="00832985"/>
    <w:rsid w:val="008332CE"/>
    <w:rsid w:val="008345B9"/>
    <w:rsid w:val="008354ED"/>
    <w:rsid w:val="00835DAD"/>
    <w:rsid w:val="008376EF"/>
    <w:rsid w:val="00837760"/>
    <w:rsid w:val="00837F02"/>
    <w:rsid w:val="00840EF2"/>
    <w:rsid w:val="00843C41"/>
    <w:rsid w:val="0084500E"/>
    <w:rsid w:val="008455FB"/>
    <w:rsid w:val="0084584F"/>
    <w:rsid w:val="00850BC8"/>
    <w:rsid w:val="00850E33"/>
    <w:rsid w:val="00856715"/>
    <w:rsid w:val="00856DC0"/>
    <w:rsid w:val="00861CE7"/>
    <w:rsid w:val="008641A3"/>
    <w:rsid w:val="00864D01"/>
    <w:rsid w:val="00865BFC"/>
    <w:rsid w:val="008669F7"/>
    <w:rsid w:val="0087394A"/>
    <w:rsid w:val="00874D32"/>
    <w:rsid w:val="00881B84"/>
    <w:rsid w:val="008876A3"/>
    <w:rsid w:val="00887DFB"/>
    <w:rsid w:val="0089283A"/>
    <w:rsid w:val="00892ADC"/>
    <w:rsid w:val="00893813"/>
    <w:rsid w:val="0089658C"/>
    <w:rsid w:val="00896F74"/>
    <w:rsid w:val="00897000"/>
    <w:rsid w:val="008A2458"/>
    <w:rsid w:val="008A66B8"/>
    <w:rsid w:val="008A7EED"/>
    <w:rsid w:val="008B2B1D"/>
    <w:rsid w:val="008B5009"/>
    <w:rsid w:val="008B7E45"/>
    <w:rsid w:val="008C1237"/>
    <w:rsid w:val="008C64FB"/>
    <w:rsid w:val="008C771B"/>
    <w:rsid w:val="008C77A4"/>
    <w:rsid w:val="008D0DB7"/>
    <w:rsid w:val="008D2DAF"/>
    <w:rsid w:val="008D4EEC"/>
    <w:rsid w:val="008E1C91"/>
    <w:rsid w:val="008E2EFF"/>
    <w:rsid w:val="008E3B9E"/>
    <w:rsid w:val="008E4E0F"/>
    <w:rsid w:val="008E738E"/>
    <w:rsid w:val="008F0A84"/>
    <w:rsid w:val="008F0CC3"/>
    <w:rsid w:val="008F44C7"/>
    <w:rsid w:val="008F5035"/>
    <w:rsid w:val="008F5056"/>
    <w:rsid w:val="0090408F"/>
    <w:rsid w:val="00906F8A"/>
    <w:rsid w:val="00915570"/>
    <w:rsid w:val="0091611D"/>
    <w:rsid w:val="00916267"/>
    <w:rsid w:val="00921082"/>
    <w:rsid w:val="00922EFB"/>
    <w:rsid w:val="00923A6C"/>
    <w:rsid w:val="009249C8"/>
    <w:rsid w:val="00933F00"/>
    <w:rsid w:val="00935401"/>
    <w:rsid w:val="0094003A"/>
    <w:rsid w:val="0094004A"/>
    <w:rsid w:val="00946A82"/>
    <w:rsid w:val="00951071"/>
    <w:rsid w:val="0095333C"/>
    <w:rsid w:val="00955186"/>
    <w:rsid w:val="00956EE8"/>
    <w:rsid w:val="009643C2"/>
    <w:rsid w:val="00966B6A"/>
    <w:rsid w:val="0097057C"/>
    <w:rsid w:val="009715C5"/>
    <w:rsid w:val="00971AF2"/>
    <w:rsid w:val="009723B8"/>
    <w:rsid w:val="00974455"/>
    <w:rsid w:val="0098281C"/>
    <w:rsid w:val="0098423D"/>
    <w:rsid w:val="009850E9"/>
    <w:rsid w:val="00985DFA"/>
    <w:rsid w:val="00986315"/>
    <w:rsid w:val="009911E3"/>
    <w:rsid w:val="00994E42"/>
    <w:rsid w:val="00995178"/>
    <w:rsid w:val="009A1C33"/>
    <w:rsid w:val="009A2439"/>
    <w:rsid w:val="009A2BFF"/>
    <w:rsid w:val="009A6D30"/>
    <w:rsid w:val="009B206F"/>
    <w:rsid w:val="009B5F6F"/>
    <w:rsid w:val="009B7A7F"/>
    <w:rsid w:val="009B7A90"/>
    <w:rsid w:val="009B7BA4"/>
    <w:rsid w:val="009C1007"/>
    <w:rsid w:val="009C1F6E"/>
    <w:rsid w:val="009C2514"/>
    <w:rsid w:val="009C3C03"/>
    <w:rsid w:val="009C3EBA"/>
    <w:rsid w:val="009C4C61"/>
    <w:rsid w:val="009C5377"/>
    <w:rsid w:val="009C7BA0"/>
    <w:rsid w:val="009D1B51"/>
    <w:rsid w:val="009D52BF"/>
    <w:rsid w:val="009D6DD3"/>
    <w:rsid w:val="009E3F57"/>
    <w:rsid w:val="009E4F8A"/>
    <w:rsid w:val="009E6771"/>
    <w:rsid w:val="009E67E4"/>
    <w:rsid w:val="009F0511"/>
    <w:rsid w:val="009F1DBD"/>
    <w:rsid w:val="009F22FE"/>
    <w:rsid w:val="009F750B"/>
    <w:rsid w:val="00A00435"/>
    <w:rsid w:val="00A03071"/>
    <w:rsid w:val="00A05B11"/>
    <w:rsid w:val="00A06B7F"/>
    <w:rsid w:val="00A07D9C"/>
    <w:rsid w:val="00A109CC"/>
    <w:rsid w:val="00A13EDB"/>
    <w:rsid w:val="00A14C4D"/>
    <w:rsid w:val="00A15845"/>
    <w:rsid w:val="00A17B52"/>
    <w:rsid w:val="00A2141C"/>
    <w:rsid w:val="00A21B16"/>
    <w:rsid w:val="00A22D76"/>
    <w:rsid w:val="00A24D47"/>
    <w:rsid w:val="00A30370"/>
    <w:rsid w:val="00A32017"/>
    <w:rsid w:val="00A3527C"/>
    <w:rsid w:val="00A37E7E"/>
    <w:rsid w:val="00A4098F"/>
    <w:rsid w:val="00A4193A"/>
    <w:rsid w:val="00A45C6F"/>
    <w:rsid w:val="00A46DCC"/>
    <w:rsid w:val="00A5014E"/>
    <w:rsid w:val="00A562E3"/>
    <w:rsid w:val="00A569D3"/>
    <w:rsid w:val="00A6062B"/>
    <w:rsid w:val="00A62089"/>
    <w:rsid w:val="00A654EF"/>
    <w:rsid w:val="00A658F2"/>
    <w:rsid w:val="00A65AFD"/>
    <w:rsid w:val="00A66B78"/>
    <w:rsid w:val="00A6769B"/>
    <w:rsid w:val="00A677C6"/>
    <w:rsid w:val="00A67E25"/>
    <w:rsid w:val="00A72C38"/>
    <w:rsid w:val="00A72FD2"/>
    <w:rsid w:val="00A7420A"/>
    <w:rsid w:val="00A74D3C"/>
    <w:rsid w:val="00A75DB1"/>
    <w:rsid w:val="00A761C2"/>
    <w:rsid w:val="00A76D29"/>
    <w:rsid w:val="00A86960"/>
    <w:rsid w:val="00A91A54"/>
    <w:rsid w:val="00A91B7E"/>
    <w:rsid w:val="00A96F13"/>
    <w:rsid w:val="00AA1080"/>
    <w:rsid w:val="00AA16D3"/>
    <w:rsid w:val="00AA18CA"/>
    <w:rsid w:val="00AA3BFA"/>
    <w:rsid w:val="00AA5A0A"/>
    <w:rsid w:val="00AA5E84"/>
    <w:rsid w:val="00AA725C"/>
    <w:rsid w:val="00AB3274"/>
    <w:rsid w:val="00AB7A0E"/>
    <w:rsid w:val="00AC0409"/>
    <w:rsid w:val="00AC0C60"/>
    <w:rsid w:val="00AC2E63"/>
    <w:rsid w:val="00AC2EA5"/>
    <w:rsid w:val="00AC3A70"/>
    <w:rsid w:val="00AC63F8"/>
    <w:rsid w:val="00AC7144"/>
    <w:rsid w:val="00AC75AF"/>
    <w:rsid w:val="00AD340C"/>
    <w:rsid w:val="00AD3849"/>
    <w:rsid w:val="00AD3D18"/>
    <w:rsid w:val="00AD4D41"/>
    <w:rsid w:val="00AD4DD2"/>
    <w:rsid w:val="00AD6114"/>
    <w:rsid w:val="00AD74EC"/>
    <w:rsid w:val="00AE01B3"/>
    <w:rsid w:val="00AE0CFD"/>
    <w:rsid w:val="00AE1DA8"/>
    <w:rsid w:val="00AE4D94"/>
    <w:rsid w:val="00AE5612"/>
    <w:rsid w:val="00AE6664"/>
    <w:rsid w:val="00AE6EED"/>
    <w:rsid w:val="00AE74AC"/>
    <w:rsid w:val="00B02758"/>
    <w:rsid w:val="00B02B5A"/>
    <w:rsid w:val="00B036CF"/>
    <w:rsid w:val="00B04B8A"/>
    <w:rsid w:val="00B04BFB"/>
    <w:rsid w:val="00B104AA"/>
    <w:rsid w:val="00B11872"/>
    <w:rsid w:val="00B13979"/>
    <w:rsid w:val="00B15E4F"/>
    <w:rsid w:val="00B2012B"/>
    <w:rsid w:val="00B20B29"/>
    <w:rsid w:val="00B20CB9"/>
    <w:rsid w:val="00B20D52"/>
    <w:rsid w:val="00B2167C"/>
    <w:rsid w:val="00B246D3"/>
    <w:rsid w:val="00B262C9"/>
    <w:rsid w:val="00B26A2C"/>
    <w:rsid w:val="00B30526"/>
    <w:rsid w:val="00B32FCD"/>
    <w:rsid w:val="00B34577"/>
    <w:rsid w:val="00B34E07"/>
    <w:rsid w:val="00B42D00"/>
    <w:rsid w:val="00B43464"/>
    <w:rsid w:val="00B45223"/>
    <w:rsid w:val="00B45C7D"/>
    <w:rsid w:val="00B461F3"/>
    <w:rsid w:val="00B50C36"/>
    <w:rsid w:val="00B51C5E"/>
    <w:rsid w:val="00B52083"/>
    <w:rsid w:val="00B52525"/>
    <w:rsid w:val="00B52B44"/>
    <w:rsid w:val="00B52D72"/>
    <w:rsid w:val="00B56BAC"/>
    <w:rsid w:val="00B571F4"/>
    <w:rsid w:val="00B64780"/>
    <w:rsid w:val="00B6494B"/>
    <w:rsid w:val="00B65E8E"/>
    <w:rsid w:val="00B67926"/>
    <w:rsid w:val="00B679FA"/>
    <w:rsid w:val="00B72B4C"/>
    <w:rsid w:val="00B75DE1"/>
    <w:rsid w:val="00B76EAC"/>
    <w:rsid w:val="00B81ECA"/>
    <w:rsid w:val="00B838D7"/>
    <w:rsid w:val="00B86A3E"/>
    <w:rsid w:val="00B9113C"/>
    <w:rsid w:val="00B91DE8"/>
    <w:rsid w:val="00B96111"/>
    <w:rsid w:val="00B975ED"/>
    <w:rsid w:val="00B979E2"/>
    <w:rsid w:val="00B97D1F"/>
    <w:rsid w:val="00B97E9D"/>
    <w:rsid w:val="00BA38E0"/>
    <w:rsid w:val="00BA619F"/>
    <w:rsid w:val="00BA7D43"/>
    <w:rsid w:val="00BB02EB"/>
    <w:rsid w:val="00BB0A6C"/>
    <w:rsid w:val="00BB2DBC"/>
    <w:rsid w:val="00BB4AC7"/>
    <w:rsid w:val="00BB4CD0"/>
    <w:rsid w:val="00BB61C1"/>
    <w:rsid w:val="00BB6B4A"/>
    <w:rsid w:val="00BB7E90"/>
    <w:rsid w:val="00BC03CC"/>
    <w:rsid w:val="00BC11D7"/>
    <w:rsid w:val="00BC1B9C"/>
    <w:rsid w:val="00BC2C14"/>
    <w:rsid w:val="00BC31EE"/>
    <w:rsid w:val="00BC3C19"/>
    <w:rsid w:val="00BC4B27"/>
    <w:rsid w:val="00BC5C23"/>
    <w:rsid w:val="00BD15BE"/>
    <w:rsid w:val="00BD3BF3"/>
    <w:rsid w:val="00BD5316"/>
    <w:rsid w:val="00BD6613"/>
    <w:rsid w:val="00BD7E81"/>
    <w:rsid w:val="00BE41BE"/>
    <w:rsid w:val="00BE6F8C"/>
    <w:rsid w:val="00BE735F"/>
    <w:rsid w:val="00BF0B0F"/>
    <w:rsid w:val="00BF150A"/>
    <w:rsid w:val="00BF30A5"/>
    <w:rsid w:val="00BF3210"/>
    <w:rsid w:val="00BF3B09"/>
    <w:rsid w:val="00C03270"/>
    <w:rsid w:val="00C048FB"/>
    <w:rsid w:val="00C04CFA"/>
    <w:rsid w:val="00C076EF"/>
    <w:rsid w:val="00C16C84"/>
    <w:rsid w:val="00C21DB4"/>
    <w:rsid w:val="00C224CD"/>
    <w:rsid w:val="00C25539"/>
    <w:rsid w:val="00C25C2B"/>
    <w:rsid w:val="00C34D95"/>
    <w:rsid w:val="00C357EB"/>
    <w:rsid w:val="00C37015"/>
    <w:rsid w:val="00C40072"/>
    <w:rsid w:val="00C4213E"/>
    <w:rsid w:val="00C438D5"/>
    <w:rsid w:val="00C45741"/>
    <w:rsid w:val="00C46563"/>
    <w:rsid w:val="00C472A3"/>
    <w:rsid w:val="00C50C4A"/>
    <w:rsid w:val="00C524B1"/>
    <w:rsid w:val="00C56B9D"/>
    <w:rsid w:val="00C60706"/>
    <w:rsid w:val="00C6464D"/>
    <w:rsid w:val="00C64FE6"/>
    <w:rsid w:val="00C72DBC"/>
    <w:rsid w:val="00C76B39"/>
    <w:rsid w:val="00C8194B"/>
    <w:rsid w:val="00C8510F"/>
    <w:rsid w:val="00C856C4"/>
    <w:rsid w:val="00C8634C"/>
    <w:rsid w:val="00C86F92"/>
    <w:rsid w:val="00C90072"/>
    <w:rsid w:val="00C9533B"/>
    <w:rsid w:val="00CB0748"/>
    <w:rsid w:val="00CB18BD"/>
    <w:rsid w:val="00CB232C"/>
    <w:rsid w:val="00CB2D79"/>
    <w:rsid w:val="00CB2E90"/>
    <w:rsid w:val="00CB4405"/>
    <w:rsid w:val="00CB4EF4"/>
    <w:rsid w:val="00CB5BD0"/>
    <w:rsid w:val="00CB63F6"/>
    <w:rsid w:val="00CC042F"/>
    <w:rsid w:val="00CC11D6"/>
    <w:rsid w:val="00CD2668"/>
    <w:rsid w:val="00CD2FAC"/>
    <w:rsid w:val="00CD495B"/>
    <w:rsid w:val="00CD7C0B"/>
    <w:rsid w:val="00CD7C6C"/>
    <w:rsid w:val="00CE3BDB"/>
    <w:rsid w:val="00CE4305"/>
    <w:rsid w:val="00CE44AB"/>
    <w:rsid w:val="00CE4BC6"/>
    <w:rsid w:val="00CE52BF"/>
    <w:rsid w:val="00CE70DB"/>
    <w:rsid w:val="00CF001E"/>
    <w:rsid w:val="00CF50D5"/>
    <w:rsid w:val="00CF5C9B"/>
    <w:rsid w:val="00CF6662"/>
    <w:rsid w:val="00D01058"/>
    <w:rsid w:val="00D01136"/>
    <w:rsid w:val="00D03474"/>
    <w:rsid w:val="00D03476"/>
    <w:rsid w:val="00D03C0F"/>
    <w:rsid w:val="00D06B71"/>
    <w:rsid w:val="00D105D9"/>
    <w:rsid w:val="00D11FB0"/>
    <w:rsid w:val="00D129B0"/>
    <w:rsid w:val="00D1756F"/>
    <w:rsid w:val="00D21893"/>
    <w:rsid w:val="00D23DB6"/>
    <w:rsid w:val="00D242FC"/>
    <w:rsid w:val="00D26400"/>
    <w:rsid w:val="00D264F9"/>
    <w:rsid w:val="00D35E6A"/>
    <w:rsid w:val="00D361F7"/>
    <w:rsid w:val="00D37A4D"/>
    <w:rsid w:val="00D37BDA"/>
    <w:rsid w:val="00D409F8"/>
    <w:rsid w:val="00D41D8D"/>
    <w:rsid w:val="00D51C08"/>
    <w:rsid w:val="00D51F3E"/>
    <w:rsid w:val="00D55D74"/>
    <w:rsid w:val="00D568D6"/>
    <w:rsid w:val="00D613B2"/>
    <w:rsid w:val="00D61D4F"/>
    <w:rsid w:val="00D62526"/>
    <w:rsid w:val="00D65B3B"/>
    <w:rsid w:val="00D6655A"/>
    <w:rsid w:val="00D7158D"/>
    <w:rsid w:val="00D73BEF"/>
    <w:rsid w:val="00D75DD7"/>
    <w:rsid w:val="00D8461E"/>
    <w:rsid w:val="00D848AF"/>
    <w:rsid w:val="00D84D41"/>
    <w:rsid w:val="00D85867"/>
    <w:rsid w:val="00D90438"/>
    <w:rsid w:val="00D90F7C"/>
    <w:rsid w:val="00D93BBB"/>
    <w:rsid w:val="00D9483F"/>
    <w:rsid w:val="00D9612C"/>
    <w:rsid w:val="00DA0DFD"/>
    <w:rsid w:val="00DA26D1"/>
    <w:rsid w:val="00DB18FC"/>
    <w:rsid w:val="00DB2769"/>
    <w:rsid w:val="00DB4762"/>
    <w:rsid w:val="00DB630A"/>
    <w:rsid w:val="00DB6473"/>
    <w:rsid w:val="00DC4AE1"/>
    <w:rsid w:val="00DC6B38"/>
    <w:rsid w:val="00DC767D"/>
    <w:rsid w:val="00DC7A15"/>
    <w:rsid w:val="00DD0CDD"/>
    <w:rsid w:val="00DD26EA"/>
    <w:rsid w:val="00DD35BB"/>
    <w:rsid w:val="00DD7198"/>
    <w:rsid w:val="00DE3B48"/>
    <w:rsid w:val="00DF0FF1"/>
    <w:rsid w:val="00DF1557"/>
    <w:rsid w:val="00DF7223"/>
    <w:rsid w:val="00DF749E"/>
    <w:rsid w:val="00DF7988"/>
    <w:rsid w:val="00E0112E"/>
    <w:rsid w:val="00E02056"/>
    <w:rsid w:val="00E037D5"/>
    <w:rsid w:val="00E07EB9"/>
    <w:rsid w:val="00E10A87"/>
    <w:rsid w:val="00E114BC"/>
    <w:rsid w:val="00E11D50"/>
    <w:rsid w:val="00E13609"/>
    <w:rsid w:val="00E14B3C"/>
    <w:rsid w:val="00E16067"/>
    <w:rsid w:val="00E212E3"/>
    <w:rsid w:val="00E227F4"/>
    <w:rsid w:val="00E23903"/>
    <w:rsid w:val="00E2575E"/>
    <w:rsid w:val="00E27DAA"/>
    <w:rsid w:val="00E27FDC"/>
    <w:rsid w:val="00E30E7D"/>
    <w:rsid w:val="00E31BA9"/>
    <w:rsid w:val="00E40872"/>
    <w:rsid w:val="00E41594"/>
    <w:rsid w:val="00E46A08"/>
    <w:rsid w:val="00E56FE8"/>
    <w:rsid w:val="00E57C5E"/>
    <w:rsid w:val="00E6057C"/>
    <w:rsid w:val="00E607A7"/>
    <w:rsid w:val="00E63BD1"/>
    <w:rsid w:val="00E6467D"/>
    <w:rsid w:val="00E66BCF"/>
    <w:rsid w:val="00E71342"/>
    <w:rsid w:val="00E728E4"/>
    <w:rsid w:val="00E75741"/>
    <w:rsid w:val="00E83DB2"/>
    <w:rsid w:val="00E85DAF"/>
    <w:rsid w:val="00E87864"/>
    <w:rsid w:val="00E9170D"/>
    <w:rsid w:val="00E9198A"/>
    <w:rsid w:val="00E931C1"/>
    <w:rsid w:val="00E93D73"/>
    <w:rsid w:val="00E94BFD"/>
    <w:rsid w:val="00E94E0E"/>
    <w:rsid w:val="00E97186"/>
    <w:rsid w:val="00E97F6C"/>
    <w:rsid w:val="00EA04D2"/>
    <w:rsid w:val="00EA68DB"/>
    <w:rsid w:val="00EB1A62"/>
    <w:rsid w:val="00EB7A4C"/>
    <w:rsid w:val="00EC2A66"/>
    <w:rsid w:val="00EC3672"/>
    <w:rsid w:val="00ED0960"/>
    <w:rsid w:val="00ED3782"/>
    <w:rsid w:val="00ED56C1"/>
    <w:rsid w:val="00EE1F49"/>
    <w:rsid w:val="00EE1F87"/>
    <w:rsid w:val="00EE3720"/>
    <w:rsid w:val="00EE3F92"/>
    <w:rsid w:val="00EE7634"/>
    <w:rsid w:val="00EF1FCF"/>
    <w:rsid w:val="00EF271D"/>
    <w:rsid w:val="00EF4228"/>
    <w:rsid w:val="00EF4DC8"/>
    <w:rsid w:val="00EF659E"/>
    <w:rsid w:val="00EF6A13"/>
    <w:rsid w:val="00F01751"/>
    <w:rsid w:val="00F02CF2"/>
    <w:rsid w:val="00F0385A"/>
    <w:rsid w:val="00F1070F"/>
    <w:rsid w:val="00F14992"/>
    <w:rsid w:val="00F14DE0"/>
    <w:rsid w:val="00F21D20"/>
    <w:rsid w:val="00F22674"/>
    <w:rsid w:val="00F22B78"/>
    <w:rsid w:val="00F244F9"/>
    <w:rsid w:val="00F25220"/>
    <w:rsid w:val="00F25320"/>
    <w:rsid w:val="00F26FA6"/>
    <w:rsid w:val="00F306D7"/>
    <w:rsid w:val="00F308B7"/>
    <w:rsid w:val="00F31CAB"/>
    <w:rsid w:val="00F32A46"/>
    <w:rsid w:val="00F37170"/>
    <w:rsid w:val="00F43040"/>
    <w:rsid w:val="00F44E00"/>
    <w:rsid w:val="00F44EC3"/>
    <w:rsid w:val="00F459DC"/>
    <w:rsid w:val="00F46B72"/>
    <w:rsid w:val="00F474AB"/>
    <w:rsid w:val="00F476F6"/>
    <w:rsid w:val="00F47A28"/>
    <w:rsid w:val="00F5050C"/>
    <w:rsid w:val="00F5134E"/>
    <w:rsid w:val="00F528DD"/>
    <w:rsid w:val="00F52A18"/>
    <w:rsid w:val="00F52C68"/>
    <w:rsid w:val="00F53CC6"/>
    <w:rsid w:val="00F564CD"/>
    <w:rsid w:val="00F61702"/>
    <w:rsid w:val="00F62E71"/>
    <w:rsid w:val="00F630C8"/>
    <w:rsid w:val="00F64C12"/>
    <w:rsid w:val="00F6552D"/>
    <w:rsid w:val="00F67278"/>
    <w:rsid w:val="00F710E9"/>
    <w:rsid w:val="00F733F0"/>
    <w:rsid w:val="00F76A72"/>
    <w:rsid w:val="00F77340"/>
    <w:rsid w:val="00F8042D"/>
    <w:rsid w:val="00F85256"/>
    <w:rsid w:val="00F87572"/>
    <w:rsid w:val="00F87CA2"/>
    <w:rsid w:val="00F91976"/>
    <w:rsid w:val="00F92C8D"/>
    <w:rsid w:val="00F931AD"/>
    <w:rsid w:val="00F9741A"/>
    <w:rsid w:val="00FA1F53"/>
    <w:rsid w:val="00FA2095"/>
    <w:rsid w:val="00FA244D"/>
    <w:rsid w:val="00FB1215"/>
    <w:rsid w:val="00FB4CB0"/>
    <w:rsid w:val="00FB6392"/>
    <w:rsid w:val="00FC39BA"/>
    <w:rsid w:val="00FC3DAC"/>
    <w:rsid w:val="00FD1428"/>
    <w:rsid w:val="00FD20C5"/>
    <w:rsid w:val="00FD2761"/>
    <w:rsid w:val="00FD37B5"/>
    <w:rsid w:val="00FD4568"/>
    <w:rsid w:val="00FD5B5E"/>
    <w:rsid w:val="00FD613E"/>
    <w:rsid w:val="00FD6F4D"/>
    <w:rsid w:val="00FE05A0"/>
    <w:rsid w:val="00FE3FCF"/>
    <w:rsid w:val="00FF2E19"/>
    <w:rsid w:val="00FF756F"/>
    <w:rsid w:val="010E5B11"/>
    <w:rsid w:val="01EE1A85"/>
    <w:rsid w:val="03FA5565"/>
    <w:rsid w:val="06E03DFA"/>
    <w:rsid w:val="071C5217"/>
    <w:rsid w:val="077B0190"/>
    <w:rsid w:val="07866B35"/>
    <w:rsid w:val="07E775D3"/>
    <w:rsid w:val="088E3EF3"/>
    <w:rsid w:val="09DB3168"/>
    <w:rsid w:val="0C41302A"/>
    <w:rsid w:val="0E37750E"/>
    <w:rsid w:val="0F5337A0"/>
    <w:rsid w:val="1101524B"/>
    <w:rsid w:val="13DD7ADC"/>
    <w:rsid w:val="17081314"/>
    <w:rsid w:val="17F17DA1"/>
    <w:rsid w:val="1CBD494F"/>
    <w:rsid w:val="1CC45CDD"/>
    <w:rsid w:val="1EC43D73"/>
    <w:rsid w:val="1FC85AE5"/>
    <w:rsid w:val="22EB3FC4"/>
    <w:rsid w:val="26F73072"/>
    <w:rsid w:val="2742617D"/>
    <w:rsid w:val="282633A8"/>
    <w:rsid w:val="2CE51A84"/>
    <w:rsid w:val="2CFC5020"/>
    <w:rsid w:val="2E49469E"/>
    <w:rsid w:val="34545741"/>
    <w:rsid w:val="35431A3E"/>
    <w:rsid w:val="35E45907"/>
    <w:rsid w:val="35ED3757"/>
    <w:rsid w:val="3801798E"/>
    <w:rsid w:val="38710670"/>
    <w:rsid w:val="39DA0497"/>
    <w:rsid w:val="3C942B7F"/>
    <w:rsid w:val="3CAC611A"/>
    <w:rsid w:val="3CF25AF7"/>
    <w:rsid w:val="3D235CB1"/>
    <w:rsid w:val="3D5C1616"/>
    <w:rsid w:val="3E5A7DF8"/>
    <w:rsid w:val="4050500F"/>
    <w:rsid w:val="42611755"/>
    <w:rsid w:val="439E0787"/>
    <w:rsid w:val="45CC15DB"/>
    <w:rsid w:val="46767799"/>
    <w:rsid w:val="47240FA3"/>
    <w:rsid w:val="47E744AA"/>
    <w:rsid w:val="4A7F4E6E"/>
    <w:rsid w:val="4CAE37E9"/>
    <w:rsid w:val="4F2406B8"/>
    <w:rsid w:val="514E7348"/>
    <w:rsid w:val="5167665C"/>
    <w:rsid w:val="546E385E"/>
    <w:rsid w:val="54E20E8F"/>
    <w:rsid w:val="560E52F8"/>
    <w:rsid w:val="570C1274"/>
    <w:rsid w:val="57831D16"/>
    <w:rsid w:val="57EE3633"/>
    <w:rsid w:val="5BFB1E7B"/>
    <w:rsid w:val="5C495FC5"/>
    <w:rsid w:val="5E677C9B"/>
    <w:rsid w:val="5F8328B3"/>
    <w:rsid w:val="63D1452F"/>
    <w:rsid w:val="643E324C"/>
    <w:rsid w:val="647E5D3F"/>
    <w:rsid w:val="64DE67DD"/>
    <w:rsid w:val="657A02B4"/>
    <w:rsid w:val="68686AEA"/>
    <w:rsid w:val="694C640B"/>
    <w:rsid w:val="6D0F39D8"/>
    <w:rsid w:val="6D6F091A"/>
    <w:rsid w:val="70D70CB1"/>
    <w:rsid w:val="743326A2"/>
    <w:rsid w:val="760F2C9B"/>
    <w:rsid w:val="79D73ACF"/>
    <w:rsid w:val="7B5A76F3"/>
    <w:rsid w:val="7D6531A0"/>
    <w:rsid w:val="7D6A4C5A"/>
    <w:rsid w:val="7E357016"/>
    <w:rsid w:val="7F233313"/>
    <w:rsid w:val="7FA75CF2"/>
    <w:rsid w:val="7FAE7080"/>
    <w:rsid w:val="7FBB1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34"/>
    <w:semiHidden/>
    <w:unhideWhenUsed/>
    <w:qFormat/>
    <w:uiPriority w:val="99"/>
    <w:pPr>
      <w:jc w:val="left"/>
    </w:pPr>
  </w:style>
  <w:style w:type="paragraph" w:styleId="3">
    <w:name w:val="Balloon Text"/>
    <w:basedOn w:val="1"/>
    <w:link w:val="36"/>
    <w:semiHidden/>
    <w:unhideWhenUsed/>
    <w:qFormat/>
    <w:uiPriority w:val="99"/>
    <w:rPr>
      <w:sz w:val="18"/>
      <w:szCs w:val="18"/>
    </w:rPr>
  </w:style>
  <w:style w:type="paragraph" w:styleId="4">
    <w:name w:val="footer"/>
    <w:basedOn w:val="1"/>
    <w:link w:val="33"/>
    <w:unhideWhenUsed/>
    <w:qFormat/>
    <w:uiPriority w:val="99"/>
    <w:pPr>
      <w:tabs>
        <w:tab w:val="center" w:pos="4153"/>
        <w:tab w:val="right" w:pos="8306"/>
      </w:tabs>
      <w:snapToGrid w:val="0"/>
      <w:jc w:val="left"/>
    </w:pPr>
    <w:rPr>
      <w:sz w:val="18"/>
      <w:szCs w:val="18"/>
    </w:rPr>
  </w:style>
  <w:style w:type="paragraph" w:styleId="5">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35"/>
    <w:semiHidden/>
    <w:unhideWhenUsed/>
    <w:qFormat/>
    <w:uiPriority w:val="99"/>
    <w:rPr>
      <w:b/>
      <w:bCs/>
    </w:rPr>
  </w:style>
  <w:style w:type="character" w:styleId="9">
    <w:name w:val="annotation reference"/>
    <w:basedOn w:val="8"/>
    <w:semiHidden/>
    <w:unhideWhenUsed/>
    <w:qFormat/>
    <w:uiPriority w:val="99"/>
    <w:rPr>
      <w:sz w:val="21"/>
      <w:szCs w:val="21"/>
    </w:rPr>
  </w:style>
  <w:style w:type="paragraph" w:customStyle="1" w:styleId="10">
    <w:name w:val="※封面大标题"/>
    <w:basedOn w:val="1"/>
    <w:next w:val="1"/>
    <w:qFormat/>
    <w:uiPriority w:val="0"/>
    <w:pPr>
      <w:widowControl/>
      <w:jc w:val="center"/>
    </w:pPr>
    <w:rPr>
      <w:rFonts w:ascii="华文中宋" w:hAnsi="华文中宋" w:eastAsia="华文中宋"/>
      <w:sz w:val="96"/>
      <w:szCs w:val="96"/>
    </w:rPr>
  </w:style>
  <w:style w:type="paragraph" w:customStyle="1" w:styleId="11">
    <w:name w:val="※封面题颌"/>
    <w:basedOn w:val="1"/>
    <w:next w:val="1"/>
    <w:qFormat/>
    <w:uiPriority w:val="0"/>
    <w:pPr>
      <w:widowControl/>
      <w:jc w:val="center"/>
    </w:pPr>
    <w:rPr>
      <w:rFonts w:ascii="Calibri Light" w:hAnsi="Calibri Light" w:eastAsia="华文仿宋"/>
      <w:sz w:val="36"/>
      <w:szCs w:val="36"/>
    </w:rPr>
  </w:style>
  <w:style w:type="paragraph" w:customStyle="1" w:styleId="12">
    <w:name w:val="※封面题眉"/>
    <w:basedOn w:val="1"/>
    <w:next w:val="10"/>
    <w:qFormat/>
    <w:uiPriority w:val="0"/>
    <w:pPr>
      <w:widowControl/>
      <w:jc w:val="center"/>
    </w:pPr>
    <w:rPr>
      <w:rFonts w:ascii="华文仿宋" w:hAnsi="华文仿宋" w:eastAsia="华文仿宋"/>
      <w:sz w:val="52"/>
      <w:szCs w:val="28"/>
    </w:rPr>
  </w:style>
  <w:style w:type="paragraph" w:customStyle="1" w:styleId="13">
    <w:name w:val="※封面题须"/>
    <w:basedOn w:val="1"/>
    <w:qFormat/>
    <w:uiPriority w:val="0"/>
    <w:pPr>
      <w:widowControl/>
      <w:ind w:left="850" w:leftChars="350" w:right="250" w:rightChars="250" w:hanging="500" w:hangingChars="500"/>
      <w:jc w:val="left"/>
    </w:pPr>
    <w:rPr>
      <w:rFonts w:ascii="Calibri Light" w:hAnsi="Calibri Light" w:eastAsia="华文仿宋"/>
      <w:sz w:val="36"/>
      <w:szCs w:val="36"/>
    </w:rPr>
  </w:style>
  <w:style w:type="paragraph" w:customStyle="1" w:styleId="14">
    <w:name w:val="※目录（次）"/>
    <w:basedOn w:val="1"/>
    <w:qFormat/>
    <w:uiPriority w:val="0"/>
    <w:pPr>
      <w:widowControl/>
      <w:tabs>
        <w:tab w:val="right" w:leader="hyphen" w:pos="8400"/>
      </w:tabs>
      <w:wordWrap w:val="0"/>
      <w:ind w:left="700" w:leftChars="200" w:right="300" w:rightChars="300" w:hanging="500" w:hangingChars="500"/>
      <w:jc w:val="left"/>
    </w:pPr>
    <w:rPr>
      <w:rFonts w:ascii="Calibri Light" w:hAnsi="Calibri Light" w:eastAsia="华文仿宋"/>
      <w:sz w:val="36"/>
      <w:szCs w:val="28"/>
    </w:rPr>
  </w:style>
  <w:style w:type="paragraph" w:customStyle="1" w:styleId="15">
    <w:name w:val="※目录（主）"/>
    <w:basedOn w:val="1"/>
    <w:qFormat/>
    <w:uiPriority w:val="0"/>
    <w:pPr>
      <w:widowControl/>
      <w:tabs>
        <w:tab w:val="right" w:leader="hyphen" w:pos="8400"/>
      </w:tabs>
      <w:spacing w:afterLines="100" w:line="400" w:lineRule="exact"/>
      <w:ind w:left="200" w:leftChars="200" w:right="200" w:rightChars="200" w:hanging="499" w:hangingChars="400"/>
      <w:jc w:val="left"/>
    </w:pPr>
    <w:rPr>
      <w:rFonts w:ascii="Calibri Light" w:hAnsi="Calibri Light" w:eastAsia="华文仿宋"/>
      <w:sz w:val="36"/>
      <w:szCs w:val="36"/>
    </w:rPr>
  </w:style>
  <w:style w:type="paragraph" w:customStyle="1" w:styleId="16">
    <w:name w:val="※小标题 1"/>
    <w:basedOn w:val="1"/>
    <w:next w:val="1"/>
    <w:qFormat/>
    <w:uiPriority w:val="0"/>
    <w:pPr>
      <w:widowControl/>
      <w:wordWrap w:val="0"/>
      <w:spacing w:before="20" w:after="20" w:line="400" w:lineRule="exact"/>
      <w:ind w:firstLine="200" w:firstLineChars="200"/>
      <w:jc w:val="left"/>
      <w:outlineLvl w:val="4"/>
    </w:pPr>
    <w:rPr>
      <w:rFonts w:ascii="Calibri Light" w:hAnsi="Calibri Light" w:eastAsia="华文仿宋"/>
      <w:b/>
      <w:sz w:val="28"/>
      <w:szCs w:val="28"/>
    </w:rPr>
  </w:style>
  <w:style w:type="paragraph" w:customStyle="1" w:styleId="17">
    <w:name w:val="※正文"/>
    <w:basedOn w:val="1"/>
    <w:next w:val="1"/>
    <w:qFormat/>
    <w:uiPriority w:val="0"/>
    <w:pPr>
      <w:widowControl/>
      <w:wordWrap w:val="0"/>
      <w:spacing w:line="400" w:lineRule="exact"/>
    </w:pPr>
    <w:rPr>
      <w:rFonts w:ascii="Calibri Light" w:hAnsi="Calibri Light" w:eastAsia="华文仿宋"/>
      <w:sz w:val="28"/>
      <w:szCs w:val="28"/>
    </w:rPr>
  </w:style>
  <w:style w:type="paragraph" w:customStyle="1" w:styleId="18">
    <w:name w:val="※小标题 一"/>
    <w:basedOn w:val="17"/>
    <w:next w:val="17"/>
    <w:qFormat/>
    <w:uiPriority w:val="0"/>
    <w:pPr>
      <w:spacing w:before="120" w:line="240" w:lineRule="auto"/>
      <w:outlineLvl w:val="2"/>
    </w:pPr>
    <w:rPr>
      <w:b/>
      <w:color w:val="203864" w:themeColor="accent5" w:themeShade="80"/>
      <w:sz w:val="32"/>
    </w:rPr>
  </w:style>
  <w:style w:type="paragraph" w:customStyle="1" w:styleId="19">
    <w:name w:val="※小标题（1）"/>
    <w:basedOn w:val="1"/>
    <w:next w:val="17"/>
    <w:qFormat/>
    <w:uiPriority w:val="0"/>
    <w:pPr>
      <w:widowControl/>
      <w:wordWrap w:val="0"/>
      <w:spacing w:line="400" w:lineRule="exact"/>
      <w:ind w:firstLine="200" w:firstLineChars="200"/>
      <w:outlineLvl w:val="5"/>
    </w:pPr>
    <w:rPr>
      <w:rFonts w:ascii="Calibri Light" w:hAnsi="Calibri Light" w:eastAsia="华文仿宋"/>
      <w:b/>
      <w:sz w:val="28"/>
      <w:szCs w:val="28"/>
    </w:rPr>
  </w:style>
  <w:style w:type="paragraph" w:customStyle="1" w:styleId="20">
    <w:name w:val="※小标题（一）"/>
    <w:basedOn w:val="1"/>
    <w:next w:val="17"/>
    <w:qFormat/>
    <w:uiPriority w:val="0"/>
    <w:pPr>
      <w:widowControl/>
      <w:wordWrap w:val="0"/>
      <w:spacing w:before="60" w:after="60" w:line="400" w:lineRule="exact"/>
      <w:ind w:firstLine="200" w:firstLineChars="200"/>
      <w:outlineLvl w:val="3"/>
    </w:pPr>
    <w:rPr>
      <w:rFonts w:ascii="Calibri Light" w:hAnsi="Calibri Light" w:eastAsia="华文仿宋"/>
      <w:b/>
      <w:sz w:val="28"/>
      <w:szCs w:val="28"/>
    </w:rPr>
  </w:style>
  <w:style w:type="paragraph" w:customStyle="1" w:styleId="21">
    <w:name w:val="※页脚（横屏）"/>
    <w:basedOn w:val="1"/>
    <w:qFormat/>
    <w:uiPriority w:val="0"/>
    <w:pPr>
      <w:widowControl/>
      <w:tabs>
        <w:tab w:val="center" w:pos="7000"/>
      </w:tabs>
      <w:wordWrap w:val="0"/>
      <w:spacing w:line="240" w:lineRule="atLeast"/>
      <w:jc w:val="left"/>
    </w:pPr>
    <w:rPr>
      <w:rFonts w:ascii="宋体" w:hAnsi="宋体"/>
      <w:sz w:val="18"/>
      <w:szCs w:val="18"/>
    </w:rPr>
  </w:style>
  <w:style w:type="paragraph" w:customStyle="1" w:styleId="22">
    <w:name w:val="※页脚（竖屏）"/>
    <w:basedOn w:val="1"/>
    <w:qFormat/>
    <w:uiPriority w:val="0"/>
    <w:pPr>
      <w:widowControl/>
      <w:tabs>
        <w:tab w:val="center" w:pos="4536"/>
      </w:tabs>
      <w:wordWrap w:val="0"/>
      <w:spacing w:line="240" w:lineRule="atLeast"/>
      <w:jc w:val="left"/>
    </w:pPr>
    <w:rPr>
      <w:rFonts w:ascii="宋体" w:hAnsi="宋体"/>
      <w:sz w:val="18"/>
      <w:szCs w:val="18"/>
    </w:rPr>
  </w:style>
  <w:style w:type="paragraph" w:customStyle="1" w:styleId="23">
    <w:name w:val="※页眉"/>
    <w:basedOn w:val="17"/>
    <w:qFormat/>
    <w:uiPriority w:val="0"/>
    <w:pPr>
      <w:pBdr>
        <w:bottom w:val="single" w:color="auto" w:sz="4" w:space="1"/>
      </w:pBdr>
      <w:spacing w:line="240" w:lineRule="atLeast"/>
      <w:jc w:val="right"/>
    </w:pPr>
    <w:rPr>
      <w:rFonts w:ascii="宋体" w:hAnsi="宋体" w:eastAsia="宋体"/>
      <w:sz w:val="18"/>
    </w:rPr>
  </w:style>
  <w:style w:type="paragraph" w:customStyle="1" w:styleId="24">
    <w:name w:val="※章节标题（第X章）"/>
    <w:basedOn w:val="1"/>
    <w:qFormat/>
    <w:uiPriority w:val="0"/>
    <w:pPr>
      <w:widowControl/>
      <w:jc w:val="center"/>
      <w:outlineLvl w:val="0"/>
    </w:pPr>
    <w:rPr>
      <w:rFonts w:ascii="Calibri Light" w:hAnsi="Calibri Light" w:eastAsia="黑体"/>
      <w:sz w:val="36"/>
      <w:szCs w:val="28"/>
    </w:rPr>
  </w:style>
  <w:style w:type="paragraph" w:customStyle="1" w:styleId="25">
    <w:name w:val="※章节标题（第Y部分）"/>
    <w:basedOn w:val="1"/>
    <w:next w:val="1"/>
    <w:qFormat/>
    <w:uiPriority w:val="0"/>
    <w:pPr>
      <w:widowControl/>
      <w:jc w:val="center"/>
      <w:outlineLvl w:val="1"/>
    </w:pPr>
    <w:rPr>
      <w:rFonts w:ascii="Calibri Light" w:hAnsi="Calibri Light" w:eastAsia="黑体"/>
      <w:color w:val="1F4E79" w:themeColor="accent1" w:themeShade="80"/>
      <w:sz w:val="32"/>
      <w:szCs w:val="36"/>
    </w:rPr>
  </w:style>
  <w:style w:type="paragraph" w:customStyle="1" w:styleId="26">
    <w:name w:val="※章节标题（第Z部分分项）"/>
    <w:basedOn w:val="25"/>
    <w:qFormat/>
    <w:uiPriority w:val="0"/>
    <w:pPr>
      <w:outlineLvl w:val="2"/>
    </w:pPr>
  </w:style>
  <w:style w:type="paragraph" w:customStyle="1" w:styleId="27">
    <w:name w:val="※正文（落款）"/>
    <w:basedOn w:val="1"/>
    <w:qFormat/>
    <w:uiPriority w:val="0"/>
    <w:pPr>
      <w:widowControl/>
      <w:tabs>
        <w:tab w:val="center" w:pos="6663"/>
      </w:tabs>
      <w:wordWrap w:val="0"/>
      <w:spacing w:line="240" w:lineRule="atLeast"/>
      <w:jc w:val="left"/>
    </w:pPr>
    <w:rPr>
      <w:rFonts w:ascii="Calibri Light" w:hAnsi="Calibri Light" w:eastAsia="华文仿宋"/>
      <w:sz w:val="28"/>
      <w:szCs w:val="28"/>
    </w:rPr>
  </w:style>
  <w:style w:type="paragraph" w:customStyle="1" w:styleId="28">
    <w:name w:val="※正文（缩进2）"/>
    <w:basedOn w:val="17"/>
    <w:qFormat/>
    <w:uiPriority w:val="0"/>
    <w:pPr>
      <w:ind w:firstLine="200" w:firstLineChars="200"/>
    </w:pPr>
  </w:style>
  <w:style w:type="paragraph" w:customStyle="1" w:styleId="29">
    <w:name w:val="※正文（缩进4）"/>
    <w:basedOn w:val="17"/>
    <w:qFormat/>
    <w:uiPriority w:val="0"/>
    <w:pPr>
      <w:ind w:firstLine="400" w:firstLineChars="400"/>
    </w:pPr>
  </w:style>
  <w:style w:type="paragraph" w:customStyle="1" w:styleId="30">
    <w:name w:val="样式"/>
    <w:link w:val="31"/>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31">
    <w:name w:val="样式 Char Char"/>
    <w:link w:val="30"/>
    <w:qFormat/>
    <w:locked/>
    <w:uiPriority w:val="0"/>
    <w:rPr>
      <w:rFonts w:ascii="宋体" w:hAnsi="宋体" w:eastAsia="宋体" w:cs="宋体"/>
      <w:kern w:val="0"/>
      <w:sz w:val="24"/>
      <w:szCs w:val="24"/>
    </w:rPr>
  </w:style>
  <w:style w:type="character" w:customStyle="1" w:styleId="32">
    <w:name w:val="页眉 Char"/>
    <w:basedOn w:val="8"/>
    <w:link w:val="5"/>
    <w:qFormat/>
    <w:uiPriority w:val="99"/>
    <w:rPr>
      <w:rFonts w:ascii="Calibri" w:hAnsi="Calibri" w:eastAsia="宋体" w:cs="Times New Roman"/>
      <w:sz w:val="18"/>
      <w:szCs w:val="18"/>
    </w:rPr>
  </w:style>
  <w:style w:type="character" w:customStyle="1" w:styleId="33">
    <w:name w:val="页脚 Char"/>
    <w:basedOn w:val="8"/>
    <w:link w:val="4"/>
    <w:qFormat/>
    <w:uiPriority w:val="99"/>
    <w:rPr>
      <w:rFonts w:ascii="Calibri" w:hAnsi="Calibri" w:eastAsia="宋体" w:cs="Times New Roman"/>
      <w:sz w:val="18"/>
      <w:szCs w:val="18"/>
    </w:rPr>
  </w:style>
  <w:style w:type="character" w:customStyle="1" w:styleId="34">
    <w:name w:val="批注文字 Char"/>
    <w:basedOn w:val="8"/>
    <w:link w:val="2"/>
    <w:semiHidden/>
    <w:qFormat/>
    <w:uiPriority w:val="99"/>
    <w:rPr>
      <w:rFonts w:ascii="Calibri" w:hAnsi="Calibri" w:eastAsia="宋体" w:cs="Times New Roman"/>
    </w:rPr>
  </w:style>
  <w:style w:type="character" w:customStyle="1" w:styleId="35">
    <w:name w:val="批注主题 Char"/>
    <w:basedOn w:val="34"/>
    <w:link w:val="6"/>
    <w:semiHidden/>
    <w:qFormat/>
    <w:uiPriority w:val="99"/>
    <w:rPr>
      <w:rFonts w:ascii="Calibri" w:hAnsi="Calibri" w:eastAsia="宋体" w:cs="Times New Roman"/>
      <w:b/>
      <w:bCs/>
    </w:rPr>
  </w:style>
  <w:style w:type="character" w:customStyle="1" w:styleId="36">
    <w:name w:val="批注框文本 Char"/>
    <w:basedOn w:val="8"/>
    <w:link w:val="3"/>
    <w:semiHidden/>
    <w:qFormat/>
    <w:uiPriority w:val="99"/>
    <w:rPr>
      <w:rFonts w:ascii="Calibri" w:hAnsi="Calibri" w:eastAsia="宋体" w:cs="Times New Roman"/>
      <w:sz w:val="18"/>
      <w:szCs w:val="18"/>
    </w:rPr>
  </w:style>
  <w:style w:type="paragraph" w:customStyle="1" w:styleId="3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7</Pages>
  <Words>3627</Words>
  <Characters>4029</Characters>
  <Lines>21</Lines>
  <Paragraphs>6</Paragraphs>
  <TotalTime>0</TotalTime>
  <ScaleCrop>false</ScaleCrop>
  <LinksUpToDate>false</LinksUpToDate>
  <CharactersWithSpaces>4050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2021-03-19T04:39:00Z</dcterms:created>
  <dc:creator>lenovo</dc:creator>
  <cp:lastModifiedBy>学凯</cp:lastModifiedBy>
  <dcterms:modified xsi:type="dcterms:W3CDTF">2025-03-21T08:23:47Z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15A97517FAFE4B7B8A8929013F486214_13</vt:lpwstr>
  </property>
  <property fmtid="{D5CDD505-2E9C-101B-9397-08002B2CF9AE}" pid="4" name="KSOTemplateDocerSaveRecord">
    <vt:lpwstr>eyJoZGlkIjoiN2FmOGNjMjYxYTkzNGI4NWI0Mjc2YjE5MWY5MDBmMDYiLCJ1c2VySWQiOiIyNjkyNTU4MDcifQ==</vt:lpwstr>
  </property>
</Properties>
</file>