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BF4EE">
      <w:pPr>
        <w:pStyle w:val="19"/>
        <w:jc w:val="center"/>
        <w:outlineLvl w:val="1"/>
      </w:pPr>
      <w:r>
        <w:rPr>
          <w:b/>
          <w:sz w:val="36"/>
        </w:rPr>
        <w:t>拟签订采购合同文本</w:t>
      </w:r>
    </w:p>
    <w:p w14:paraId="1576DD6E">
      <w:pPr>
        <w:spacing w:line="360" w:lineRule="auto"/>
        <w:jc w:val="both"/>
        <w:outlineLvl w:val="0"/>
        <w:rPr>
          <w:rFonts w:hint="eastAsia" w:ascii="宋体" w:hAnsi="宋体" w:eastAsia="宋体" w:cs="宋体"/>
          <w:b/>
          <w:bCs/>
          <w:kern w:val="44"/>
          <w:sz w:val="72"/>
          <w:szCs w:val="72"/>
        </w:rPr>
      </w:pPr>
    </w:p>
    <w:p w14:paraId="4B3E18C0">
      <w:pPr>
        <w:spacing w:line="360" w:lineRule="auto"/>
        <w:jc w:val="center"/>
        <w:outlineLvl w:val="0"/>
        <w:rPr>
          <w:rFonts w:hint="eastAsia" w:ascii="宋体" w:hAnsi="宋体" w:eastAsia="宋体" w:cs="宋体"/>
          <w:b/>
          <w:bCs/>
          <w:kern w:val="44"/>
          <w:sz w:val="72"/>
          <w:szCs w:val="72"/>
        </w:rPr>
      </w:pPr>
    </w:p>
    <w:p w14:paraId="2C112B7E">
      <w:pPr>
        <w:spacing w:line="360" w:lineRule="auto"/>
        <w:jc w:val="center"/>
        <w:outlineLvl w:val="0"/>
        <w:rPr>
          <w:rFonts w:hint="eastAsia" w:ascii="宋体" w:hAnsi="宋体" w:eastAsia="宋体" w:cs="宋体"/>
          <w:b/>
          <w:bCs/>
          <w:kern w:val="44"/>
          <w:sz w:val="72"/>
          <w:szCs w:val="72"/>
        </w:rPr>
      </w:pPr>
    </w:p>
    <w:p w14:paraId="0B8DED1F">
      <w:pPr>
        <w:spacing w:line="360" w:lineRule="auto"/>
        <w:jc w:val="center"/>
        <w:outlineLvl w:val="0"/>
        <w:rPr>
          <w:rFonts w:hint="eastAsia" w:ascii="宋体" w:hAnsi="宋体" w:eastAsia="宋体" w:cs="宋体"/>
          <w:b/>
          <w:bCs/>
          <w:kern w:val="44"/>
          <w:sz w:val="72"/>
          <w:szCs w:val="72"/>
        </w:rPr>
      </w:pPr>
      <w:r>
        <w:rPr>
          <w:rFonts w:hint="eastAsia" w:ascii="宋体" w:hAnsi="宋体" w:eastAsia="宋体" w:cs="宋体"/>
          <w:b/>
          <w:bCs/>
          <w:kern w:val="44"/>
          <w:sz w:val="72"/>
          <w:szCs w:val="72"/>
        </w:rPr>
        <w:t>政府采购合同格式</w:t>
      </w:r>
    </w:p>
    <w:p w14:paraId="678F152F">
      <w:pPr>
        <w:adjustRightInd w:val="0"/>
        <w:snapToGrid w:val="0"/>
        <w:spacing w:line="360" w:lineRule="auto"/>
        <w:jc w:val="center"/>
        <w:rPr>
          <w:rFonts w:hint="eastAsia" w:ascii="宋体" w:hAnsi="宋体" w:eastAsia="宋体" w:cs="宋体"/>
          <w:b/>
          <w:bCs/>
          <w:sz w:val="21"/>
          <w:szCs w:val="21"/>
        </w:rPr>
      </w:pPr>
      <w:bookmarkStart w:id="0" w:name="_Hlt16619369"/>
      <w:bookmarkEnd w:id="0"/>
    </w:p>
    <w:p w14:paraId="58145378">
      <w:pPr>
        <w:adjustRightInd w:val="0"/>
        <w:snapToGrid w:val="0"/>
        <w:spacing w:line="360" w:lineRule="auto"/>
        <w:jc w:val="center"/>
        <w:rPr>
          <w:rFonts w:hint="eastAsia" w:ascii="宋体" w:hAnsi="宋体" w:eastAsia="宋体" w:cs="宋体"/>
          <w:b/>
          <w:bCs/>
          <w:sz w:val="21"/>
          <w:szCs w:val="21"/>
        </w:rPr>
      </w:pPr>
    </w:p>
    <w:p w14:paraId="7F9E0F4F">
      <w:pPr>
        <w:adjustRightInd w:val="0"/>
        <w:snapToGrid w:val="0"/>
        <w:spacing w:line="360" w:lineRule="auto"/>
        <w:jc w:val="center"/>
        <w:rPr>
          <w:rFonts w:hint="eastAsia" w:ascii="宋体" w:hAnsi="宋体" w:eastAsia="宋体" w:cs="宋体"/>
          <w:b/>
          <w:bCs/>
          <w:sz w:val="21"/>
          <w:szCs w:val="21"/>
        </w:rPr>
      </w:pPr>
    </w:p>
    <w:p w14:paraId="661B2B53">
      <w:pPr>
        <w:spacing w:line="360" w:lineRule="auto"/>
        <w:jc w:val="center"/>
        <w:rPr>
          <w:rFonts w:hint="eastAsia" w:ascii="宋体" w:hAnsi="宋体" w:eastAsia="宋体" w:cs="宋体"/>
          <w:sz w:val="22"/>
          <w:szCs w:val="22"/>
        </w:rPr>
      </w:pPr>
      <w:r>
        <w:rPr>
          <w:rFonts w:hint="eastAsia" w:ascii="宋体" w:hAnsi="宋体" w:eastAsia="宋体" w:cs="宋体"/>
          <w:b/>
          <w:bCs/>
          <w:color w:val="auto"/>
          <w:sz w:val="22"/>
          <w:szCs w:val="22"/>
        </w:rPr>
        <w:t>（本格式条款供甲乙双方签订合同参考，</w:t>
      </w:r>
      <w:r>
        <w:rPr>
          <w:rFonts w:hint="eastAsia" w:ascii="宋体" w:hAnsi="宋体" w:eastAsia="宋体" w:cs="宋体"/>
          <w:b/>
          <w:bCs/>
          <w:color w:val="auto"/>
          <w:sz w:val="22"/>
          <w:szCs w:val="22"/>
          <w:lang w:val="en-US" w:eastAsia="zh-CN"/>
        </w:rPr>
        <w:t>采购</w:t>
      </w:r>
      <w:r>
        <w:rPr>
          <w:rFonts w:hint="eastAsia" w:ascii="宋体" w:hAnsi="宋体" w:eastAsia="宋体" w:cs="宋体"/>
          <w:b/>
          <w:bCs/>
          <w:color w:val="auto"/>
          <w:sz w:val="22"/>
          <w:szCs w:val="22"/>
          <w:lang w:eastAsia="zh-CN"/>
        </w:rPr>
        <w:t>人</w:t>
      </w:r>
      <w:r>
        <w:rPr>
          <w:rFonts w:hint="eastAsia" w:ascii="宋体" w:hAnsi="宋体" w:eastAsia="宋体" w:cs="宋体"/>
          <w:b/>
          <w:bCs/>
          <w:color w:val="auto"/>
          <w:sz w:val="22"/>
          <w:szCs w:val="22"/>
        </w:rPr>
        <w:t>可根据项目的实际情况增减条款和内容）</w:t>
      </w:r>
    </w:p>
    <w:p w14:paraId="449FF40A">
      <w:pPr>
        <w:spacing w:line="360" w:lineRule="auto"/>
        <w:ind w:firstLine="480"/>
        <w:rPr>
          <w:rFonts w:hint="eastAsia" w:ascii="宋体" w:hAnsi="宋体" w:eastAsia="宋体" w:cs="宋体"/>
          <w:sz w:val="24"/>
          <w:szCs w:val="24"/>
        </w:rPr>
      </w:pPr>
    </w:p>
    <w:p w14:paraId="694B6495">
      <w:pPr>
        <w:spacing w:line="360" w:lineRule="auto"/>
        <w:ind w:firstLine="480"/>
        <w:rPr>
          <w:rFonts w:hint="eastAsia" w:ascii="宋体" w:hAnsi="宋体" w:eastAsia="宋体" w:cs="宋体"/>
          <w:sz w:val="24"/>
          <w:szCs w:val="24"/>
        </w:rPr>
      </w:pPr>
    </w:p>
    <w:p w14:paraId="21ABAC1E">
      <w:pPr>
        <w:spacing w:line="360" w:lineRule="auto"/>
        <w:ind w:firstLine="480"/>
        <w:rPr>
          <w:rFonts w:hint="eastAsia" w:ascii="宋体" w:hAnsi="宋体" w:eastAsia="宋体" w:cs="宋体"/>
          <w:sz w:val="24"/>
          <w:szCs w:val="24"/>
        </w:rPr>
      </w:pPr>
    </w:p>
    <w:p w14:paraId="17AFAA1E">
      <w:pPr>
        <w:pStyle w:val="6"/>
        <w:spacing w:line="360" w:lineRule="auto"/>
        <w:rPr>
          <w:rFonts w:hint="eastAsia" w:ascii="宋体" w:hAnsi="宋体" w:eastAsia="宋体" w:cs="宋体"/>
          <w:sz w:val="24"/>
          <w:szCs w:val="24"/>
        </w:rPr>
      </w:pPr>
    </w:p>
    <w:p w14:paraId="47E2892D">
      <w:pPr>
        <w:spacing w:line="360" w:lineRule="auto"/>
        <w:rPr>
          <w:rFonts w:hint="eastAsia" w:ascii="宋体" w:hAnsi="宋体" w:eastAsia="宋体" w:cs="宋体"/>
          <w:sz w:val="24"/>
          <w:szCs w:val="24"/>
        </w:rPr>
      </w:pPr>
    </w:p>
    <w:p w14:paraId="0EDC458F">
      <w:pPr>
        <w:pStyle w:val="20"/>
        <w:spacing w:line="360" w:lineRule="auto"/>
        <w:rPr>
          <w:rFonts w:hint="eastAsia" w:ascii="宋体" w:hAnsi="宋体" w:eastAsia="宋体" w:cs="宋体"/>
          <w:sz w:val="24"/>
          <w:szCs w:val="24"/>
        </w:rPr>
      </w:pPr>
    </w:p>
    <w:p w14:paraId="1C3D5E25">
      <w:pPr>
        <w:pStyle w:val="20"/>
        <w:spacing w:line="360" w:lineRule="auto"/>
        <w:rPr>
          <w:rFonts w:hint="eastAsia" w:ascii="宋体" w:hAnsi="宋体" w:eastAsia="宋体" w:cs="宋体"/>
          <w:sz w:val="24"/>
          <w:szCs w:val="24"/>
        </w:rPr>
      </w:pPr>
    </w:p>
    <w:p w14:paraId="472E9ED0">
      <w:pPr>
        <w:pStyle w:val="20"/>
        <w:spacing w:line="360" w:lineRule="auto"/>
        <w:rPr>
          <w:rFonts w:hint="eastAsia" w:ascii="宋体" w:hAnsi="宋体" w:eastAsia="宋体" w:cs="宋体"/>
          <w:sz w:val="24"/>
          <w:szCs w:val="24"/>
        </w:rPr>
      </w:pPr>
    </w:p>
    <w:p w14:paraId="65D20F43">
      <w:pPr>
        <w:pStyle w:val="20"/>
        <w:spacing w:line="360" w:lineRule="auto"/>
        <w:rPr>
          <w:rFonts w:hint="eastAsia" w:ascii="宋体" w:hAnsi="宋体" w:eastAsia="宋体" w:cs="宋体"/>
          <w:sz w:val="24"/>
          <w:szCs w:val="24"/>
        </w:rPr>
      </w:pPr>
    </w:p>
    <w:p w14:paraId="20458905">
      <w:pPr>
        <w:pStyle w:val="20"/>
        <w:spacing w:line="360" w:lineRule="auto"/>
        <w:rPr>
          <w:rFonts w:hint="eastAsia" w:ascii="宋体" w:hAnsi="宋体" w:eastAsia="宋体" w:cs="宋体"/>
          <w:sz w:val="24"/>
          <w:szCs w:val="24"/>
        </w:rPr>
      </w:pPr>
    </w:p>
    <w:p w14:paraId="4DD3BFF1">
      <w:pPr>
        <w:spacing w:line="360" w:lineRule="auto"/>
        <w:ind w:left="1174" w:leftChars="100" w:hanging="964" w:hangingChars="400"/>
        <w:jc w:val="left"/>
        <w:rPr>
          <w:rFonts w:hint="eastAsia" w:ascii="宋体" w:hAnsi="宋体" w:eastAsia="宋体" w:cs="宋体"/>
          <w:b/>
          <w:kern w:val="0"/>
          <w:sz w:val="24"/>
          <w:szCs w:val="24"/>
          <w:u w:val="single"/>
        </w:rPr>
      </w:pPr>
      <w:r>
        <w:rPr>
          <w:rFonts w:hint="eastAsia" w:ascii="宋体" w:hAnsi="宋体" w:eastAsia="宋体" w:cs="宋体"/>
          <w:b/>
          <w:kern w:val="0"/>
          <w:sz w:val="24"/>
          <w:szCs w:val="24"/>
        </w:rPr>
        <w:t>甲方(委托方)：</w:t>
      </w:r>
      <w:r>
        <w:rPr>
          <w:rFonts w:hint="eastAsia" w:ascii="宋体" w:hAnsi="宋体" w:eastAsia="宋体" w:cs="宋体"/>
          <w:b/>
          <w:kern w:val="0"/>
          <w:sz w:val="24"/>
          <w:szCs w:val="24"/>
          <w:u w:val="single"/>
        </w:rPr>
        <w:t xml:space="preserve"> 西安市阎良区市场监督管理局     </w:t>
      </w:r>
    </w:p>
    <w:p w14:paraId="61F2FDA3">
      <w:pPr>
        <w:spacing w:line="360" w:lineRule="auto"/>
        <w:ind w:left="1174" w:leftChars="100" w:hanging="964" w:hangingChars="400"/>
        <w:jc w:val="left"/>
        <w:rPr>
          <w:rFonts w:hint="eastAsia" w:ascii="宋体" w:hAnsi="宋体" w:eastAsia="宋体" w:cs="宋体"/>
          <w:b/>
          <w:kern w:val="0"/>
          <w:sz w:val="24"/>
          <w:szCs w:val="24"/>
          <w:u w:val="single"/>
        </w:rPr>
      </w:pPr>
      <w:r>
        <w:rPr>
          <w:rFonts w:hint="eastAsia" w:ascii="宋体" w:hAnsi="宋体" w:eastAsia="宋体" w:cs="宋体"/>
          <w:b/>
          <w:kern w:val="0"/>
          <w:sz w:val="24"/>
          <w:szCs w:val="24"/>
        </w:rPr>
        <w:t>乙方(受托方)：</w:t>
      </w:r>
      <w:r>
        <w:rPr>
          <w:rFonts w:hint="eastAsia" w:ascii="宋体" w:hAnsi="宋体" w:eastAsia="宋体" w:cs="宋体"/>
          <w:b/>
          <w:kern w:val="0"/>
          <w:sz w:val="24"/>
          <w:szCs w:val="24"/>
          <w:u w:val="single"/>
        </w:rPr>
        <w:t xml:space="preserve">                                </w:t>
      </w:r>
    </w:p>
    <w:p w14:paraId="65302DFC">
      <w:pPr>
        <w:spacing w:line="360" w:lineRule="auto"/>
        <w:jc w:val="center"/>
        <w:rPr>
          <w:rFonts w:hint="eastAsia" w:ascii="宋体" w:hAnsi="宋体" w:eastAsia="宋体" w:cs="宋体"/>
          <w:b/>
          <w:kern w:val="0"/>
          <w:sz w:val="24"/>
          <w:szCs w:val="24"/>
        </w:rPr>
      </w:pPr>
    </w:p>
    <w:p w14:paraId="095286F2">
      <w:pPr>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二〇二</w:t>
      </w:r>
      <w:r>
        <w:rPr>
          <w:rFonts w:hint="eastAsia" w:ascii="宋体" w:hAnsi="宋体" w:eastAsia="宋体" w:cs="宋体"/>
          <w:b/>
          <w:kern w:val="0"/>
          <w:sz w:val="24"/>
          <w:szCs w:val="24"/>
          <w:lang w:val="en-US" w:eastAsia="zh-CN"/>
        </w:rPr>
        <w:t>五</w:t>
      </w:r>
      <w:r>
        <w:rPr>
          <w:rFonts w:hint="eastAsia" w:ascii="宋体" w:hAnsi="宋体" w:eastAsia="宋体" w:cs="宋体"/>
          <w:b/>
          <w:kern w:val="0"/>
          <w:sz w:val="24"/>
          <w:szCs w:val="24"/>
        </w:rPr>
        <w:t>年</w:t>
      </w:r>
      <w:r>
        <w:rPr>
          <w:rFonts w:hint="eastAsia" w:ascii="宋体" w:hAnsi="宋体" w:cs="宋体"/>
          <w:b/>
          <w:kern w:val="0"/>
          <w:sz w:val="24"/>
          <w:szCs w:val="24"/>
          <w:lang w:val="en-US" w:eastAsia="zh-CN"/>
        </w:rPr>
        <w:t xml:space="preserve">  </w:t>
      </w:r>
      <w:r>
        <w:rPr>
          <w:rFonts w:hint="eastAsia" w:ascii="宋体" w:hAnsi="宋体" w:eastAsia="宋体" w:cs="宋体"/>
          <w:b/>
          <w:kern w:val="0"/>
          <w:sz w:val="24"/>
          <w:szCs w:val="24"/>
        </w:rPr>
        <w:t>月</w:t>
      </w:r>
    </w:p>
    <w:p w14:paraId="3929878A">
      <w:pPr>
        <w:spacing w:line="360" w:lineRule="auto"/>
        <w:jc w:val="center"/>
        <w:rPr>
          <w:rFonts w:hint="eastAsia" w:ascii="宋体" w:hAnsi="宋体" w:eastAsia="宋体" w:cs="宋体"/>
          <w:bCs/>
          <w:sz w:val="24"/>
          <w:szCs w:val="24"/>
        </w:rPr>
      </w:pPr>
    </w:p>
    <w:p w14:paraId="4C47564D">
      <w:pPr>
        <w:spacing w:line="360" w:lineRule="auto"/>
        <w:ind w:firstLine="480"/>
        <w:rPr>
          <w:rFonts w:hint="eastAsia" w:ascii="宋体" w:hAnsi="宋体" w:eastAsia="宋体" w:cs="宋体"/>
          <w:b/>
          <w:bCs/>
          <w:color w:val="auto"/>
          <w:szCs w:val="21"/>
        </w:rPr>
      </w:pPr>
      <w:r>
        <w:rPr>
          <w:rFonts w:hint="eastAsia" w:ascii="宋体" w:hAnsi="宋体" w:eastAsia="宋体" w:cs="宋体"/>
          <w:sz w:val="21"/>
          <w:szCs w:val="21"/>
        </w:rPr>
        <w:br w:type="page"/>
      </w:r>
    </w:p>
    <w:p w14:paraId="6CFAFE79">
      <w:pPr>
        <w:pStyle w:val="8"/>
        <w:keepNext w:val="0"/>
        <w:keepLines w:val="0"/>
        <w:pageBreakBefore w:val="0"/>
        <w:widowControl w:val="0"/>
        <w:kinsoku/>
        <w:wordWrap/>
        <w:overflowPunct/>
        <w:topLinePunct w:val="0"/>
        <w:autoSpaceDE w:val="0"/>
        <w:autoSpaceDN w:val="0"/>
        <w:bidi w:val="0"/>
        <w:snapToGrid w:val="0"/>
        <w:spacing w:line="440" w:lineRule="exact"/>
        <w:ind w:right="107" w:firstLine="472" w:firstLineChars="197"/>
        <w:rPr>
          <w:rFonts w:hAnsi="宋体" w:cs="仿宋_GB2312"/>
          <w:sz w:val="24"/>
          <w:szCs w:val="24"/>
        </w:rPr>
      </w:pPr>
      <w:r>
        <w:rPr>
          <w:rFonts w:hint="eastAsia" w:hAnsi="宋体" w:cs="仿宋_GB2312"/>
          <w:sz w:val="24"/>
          <w:szCs w:val="24"/>
        </w:rPr>
        <w:t>按照《中华人民共和国政府采购法》、《中华人民共和国</w:t>
      </w:r>
      <w:r>
        <w:rPr>
          <w:rFonts w:hint="eastAsia" w:ascii="宋体" w:hAnsi="宋体"/>
          <w:sz w:val="24"/>
          <w:lang w:eastAsia="zh-CN"/>
        </w:rPr>
        <w:t>民法典</w:t>
      </w:r>
      <w:r>
        <w:rPr>
          <w:rFonts w:hint="eastAsia" w:hAnsi="宋体" w:cs="仿宋_GB2312"/>
          <w:sz w:val="24"/>
          <w:szCs w:val="24"/>
        </w:rPr>
        <w:t>》</w:t>
      </w:r>
      <w:r>
        <w:rPr>
          <w:rFonts w:hint="eastAsia" w:hAnsi="宋体" w:cs="Arial"/>
          <w:color w:val="000000"/>
          <w:sz w:val="24"/>
          <w:szCs w:val="24"/>
        </w:rPr>
        <w:t>，</w:t>
      </w:r>
      <w:r>
        <w:rPr>
          <w:rFonts w:hint="eastAsia" w:hAnsi="宋体" w:cs="仿宋_GB2312"/>
          <w:sz w:val="24"/>
          <w:szCs w:val="24"/>
        </w:rPr>
        <w:t>根据《</w:t>
      </w:r>
      <w:r>
        <w:rPr>
          <w:rFonts w:hint="eastAsia" w:hAnsi="宋体" w:cs="仿宋_GB2312"/>
          <w:sz w:val="24"/>
          <w:szCs w:val="24"/>
          <w:lang w:eastAsia="zh-CN"/>
        </w:rPr>
        <w:t>2024-2025年第三方食品安全检验检测及技术咨询服务项目</w:t>
      </w:r>
      <w:r>
        <w:rPr>
          <w:rFonts w:hint="eastAsia" w:hAnsi="宋体" w:cs="仿宋_GB2312"/>
          <w:sz w:val="24"/>
          <w:szCs w:val="24"/>
        </w:rPr>
        <w:t>》</w:t>
      </w:r>
      <w:r>
        <w:rPr>
          <w:rFonts w:hint="eastAsia" w:hAnsi="宋体" w:cs="仿宋_GB2312"/>
          <w:sz w:val="24"/>
          <w:szCs w:val="24"/>
          <w:lang w:val="en-US" w:eastAsia="zh-CN"/>
        </w:rPr>
        <w:t>磋商小组</w:t>
      </w:r>
      <w:r>
        <w:rPr>
          <w:rFonts w:hint="eastAsia" w:hAnsi="宋体" w:cs="仿宋_GB2312"/>
          <w:sz w:val="24"/>
          <w:szCs w:val="24"/>
        </w:rPr>
        <w:t>的评审结论及其它相关法律法规，本着诚实信用、平等互利原则,就阎良区食品安全监督检测相关事宜，甲乙双方经协商一致达成如下协议：</w:t>
      </w:r>
    </w:p>
    <w:p w14:paraId="35A3F881">
      <w:pPr>
        <w:keepNext w:val="0"/>
        <w:keepLines w:val="0"/>
        <w:pageBreakBefore w:val="0"/>
        <w:widowControl w:val="0"/>
        <w:numPr>
          <w:ilvl w:val="0"/>
          <w:numId w:val="1"/>
        </w:numPr>
        <w:kinsoku/>
        <w:wordWrap/>
        <w:overflowPunct/>
        <w:topLinePunct w:val="0"/>
        <w:autoSpaceDE w:val="0"/>
        <w:autoSpaceDN w:val="0"/>
        <w:bidi w:val="0"/>
        <w:adjustRightInd w:val="0"/>
        <w:snapToGrid w:val="0"/>
        <w:spacing w:line="440" w:lineRule="exact"/>
        <w:ind w:firstLine="482" w:firstLineChars="200"/>
        <w:outlineLvl w:val="0"/>
        <w:rPr>
          <w:rFonts w:ascii="宋体" w:cs="仿宋_GB2312"/>
          <w:b/>
          <w:bCs/>
          <w:sz w:val="24"/>
        </w:rPr>
      </w:pPr>
      <w:r>
        <w:rPr>
          <w:rFonts w:hint="eastAsia" w:ascii="宋体" w:hAnsi="宋体" w:cs="仿宋_GB2312"/>
          <w:b/>
          <w:bCs/>
          <w:sz w:val="24"/>
        </w:rPr>
        <w:t>服务内容</w:t>
      </w:r>
    </w:p>
    <w:p w14:paraId="1DF8FCDA">
      <w:pPr>
        <w:keepNext w:val="0"/>
        <w:keepLines w:val="0"/>
        <w:pageBreakBefore w:val="0"/>
        <w:widowControl w:val="0"/>
        <w:kinsoku/>
        <w:wordWrap/>
        <w:overflowPunct/>
        <w:topLinePunct w:val="0"/>
        <w:autoSpaceDE w:val="0"/>
        <w:autoSpaceDN w:val="0"/>
        <w:bidi w:val="0"/>
        <w:adjustRightInd w:val="0"/>
        <w:snapToGrid w:val="0"/>
        <w:spacing w:line="440" w:lineRule="exact"/>
        <w:ind w:firstLine="641"/>
        <w:outlineLvl w:val="0"/>
        <w:rPr>
          <w:rFonts w:ascii="宋体" w:cs="仿宋_GB2312"/>
          <w:kern w:val="0"/>
          <w:sz w:val="24"/>
        </w:rPr>
      </w:pPr>
      <w:r>
        <w:rPr>
          <w:rFonts w:hint="eastAsia" w:ascii="宋体" w:hAnsi="宋体" w:cs="仿宋_GB2312"/>
          <w:kern w:val="0"/>
          <w:sz w:val="24"/>
        </w:rPr>
        <w:t>按照甲方要求，乙方依据相关法律法规进行食品抽样及食品检验检测，出具有效的检验检测报告，并对</w:t>
      </w:r>
      <w:r>
        <w:rPr>
          <w:rFonts w:hint="eastAsia" w:ascii="宋体" w:hAnsi="宋体" w:cs="仿宋_GB2312"/>
          <w:color w:val="auto"/>
          <w:kern w:val="0"/>
          <w:sz w:val="24"/>
        </w:rPr>
        <w:t>报告真实性负责。具体抽检内容由甲方根据辖区内实际情况</w:t>
      </w:r>
      <w:r>
        <w:rPr>
          <w:rFonts w:hint="eastAsia" w:ascii="宋体" w:hAnsi="宋体" w:cs="仿宋_GB2312"/>
          <w:color w:val="auto"/>
          <w:kern w:val="0"/>
          <w:sz w:val="24"/>
          <w:lang w:eastAsia="zh-CN"/>
        </w:rPr>
        <w:t>下达计划，</w:t>
      </w:r>
      <w:r>
        <w:rPr>
          <w:rFonts w:hint="eastAsia" w:ascii="宋体" w:hAnsi="宋体" w:cs="仿宋_GB2312"/>
          <w:color w:val="auto"/>
          <w:kern w:val="0"/>
          <w:sz w:val="24"/>
        </w:rPr>
        <w:t>乙方</w:t>
      </w:r>
      <w:r>
        <w:rPr>
          <w:rFonts w:hint="eastAsia" w:ascii="宋体" w:hAnsi="宋体" w:cs="仿宋_GB2312"/>
          <w:color w:val="auto"/>
          <w:kern w:val="0"/>
          <w:sz w:val="24"/>
          <w:lang w:eastAsia="zh-CN"/>
        </w:rPr>
        <w:t>无条件按时保质</w:t>
      </w:r>
      <w:r>
        <w:rPr>
          <w:rFonts w:hint="eastAsia" w:ascii="宋体" w:hAnsi="宋体" w:cs="仿宋_GB2312"/>
          <w:color w:val="auto"/>
          <w:kern w:val="0"/>
          <w:sz w:val="24"/>
        </w:rPr>
        <w:t>完成。</w:t>
      </w:r>
    </w:p>
    <w:p w14:paraId="28C6D5EA">
      <w:pPr>
        <w:keepNext w:val="0"/>
        <w:keepLines w:val="0"/>
        <w:pageBreakBefore w:val="0"/>
        <w:widowControl w:val="0"/>
        <w:kinsoku/>
        <w:wordWrap/>
        <w:overflowPunct/>
        <w:topLinePunct w:val="0"/>
        <w:autoSpaceDE w:val="0"/>
        <w:autoSpaceDN w:val="0"/>
        <w:bidi w:val="0"/>
        <w:adjustRightInd w:val="0"/>
        <w:snapToGrid w:val="0"/>
        <w:spacing w:line="440" w:lineRule="exact"/>
        <w:ind w:left="160" w:leftChars="76" w:firstLine="361" w:firstLineChars="150"/>
        <w:outlineLvl w:val="0"/>
        <w:rPr>
          <w:rFonts w:ascii="宋体" w:cs="仿宋_GB2312"/>
          <w:kern w:val="0"/>
          <w:sz w:val="24"/>
          <w:highlight w:val="none"/>
        </w:rPr>
      </w:pPr>
      <w:r>
        <w:rPr>
          <w:rFonts w:hint="eastAsia" w:ascii="宋体" w:hAnsi="宋体" w:cs="仿宋_GB2312"/>
          <w:b/>
          <w:bCs/>
          <w:sz w:val="24"/>
          <w:highlight w:val="none"/>
        </w:rPr>
        <w:t>二、服务期限：</w:t>
      </w:r>
      <w:r>
        <w:rPr>
          <w:rFonts w:hint="eastAsia" w:ascii="宋体" w:hAnsi="宋体" w:cs="仿宋_GB2312"/>
          <w:b/>
          <w:bCs/>
          <w:sz w:val="24"/>
          <w:highlight w:val="none"/>
          <w:lang w:val="en-US" w:eastAsia="zh-CN"/>
        </w:rPr>
        <w:t>自合同签订之日起12个月，甲方可根据乙方服务质量延长一年合同期，无法满足甲方需求的，下一年度甲方可另行招采</w:t>
      </w:r>
      <w:r>
        <w:rPr>
          <w:rFonts w:hint="eastAsia" w:ascii="宋体" w:hAnsi="宋体" w:cs="仿宋_GB2312"/>
          <w:kern w:val="0"/>
          <w:sz w:val="24"/>
          <w:highlight w:val="none"/>
        </w:rPr>
        <w:t>。</w:t>
      </w:r>
    </w:p>
    <w:p w14:paraId="4D096741">
      <w:pPr>
        <w:keepNext w:val="0"/>
        <w:keepLines w:val="0"/>
        <w:pageBreakBefore w:val="0"/>
        <w:widowControl w:val="0"/>
        <w:kinsoku/>
        <w:wordWrap/>
        <w:overflowPunct/>
        <w:topLinePunct w:val="0"/>
        <w:autoSpaceDE w:val="0"/>
        <w:autoSpaceDN w:val="0"/>
        <w:bidi w:val="0"/>
        <w:adjustRightInd w:val="0"/>
        <w:snapToGrid w:val="0"/>
        <w:spacing w:line="440" w:lineRule="exact"/>
        <w:ind w:left="160" w:leftChars="76" w:firstLine="361" w:firstLineChars="150"/>
        <w:outlineLvl w:val="0"/>
        <w:rPr>
          <w:rFonts w:ascii="宋体" w:cs="仿宋_GB2312"/>
          <w:kern w:val="0"/>
          <w:sz w:val="24"/>
        </w:rPr>
      </w:pPr>
      <w:r>
        <w:rPr>
          <w:rFonts w:hint="eastAsia" w:ascii="宋体" w:hAnsi="宋体" w:cs="仿宋_GB2312"/>
          <w:b/>
          <w:bCs/>
          <w:sz w:val="24"/>
        </w:rPr>
        <w:t>三、服务地点</w:t>
      </w:r>
      <w:r>
        <w:rPr>
          <w:rFonts w:hint="eastAsia" w:ascii="宋体" w:hAnsi="宋体" w:cs="仿宋_GB2312"/>
          <w:kern w:val="0"/>
          <w:sz w:val="24"/>
        </w:rPr>
        <w:t>：</w:t>
      </w:r>
      <w:r>
        <w:rPr>
          <w:rFonts w:hint="eastAsia" w:ascii="宋体" w:hAnsi="宋体" w:cs="仿宋_GB2312"/>
          <w:kern w:val="0"/>
          <w:sz w:val="24"/>
          <w:lang w:val="en-US" w:eastAsia="zh-CN"/>
        </w:rPr>
        <w:t>采购人指定地点</w:t>
      </w:r>
      <w:r>
        <w:rPr>
          <w:rFonts w:hint="eastAsia" w:ascii="宋体" w:hAnsi="宋体" w:cs="仿宋_GB2312"/>
          <w:kern w:val="0"/>
          <w:sz w:val="24"/>
        </w:rPr>
        <w:t>。</w:t>
      </w:r>
    </w:p>
    <w:p w14:paraId="04596FFF">
      <w:pPr>
        <w:keepNext w:val="0"/>
        <w:keepLines w:val="0"/>
        <w:pageBreakBefore w:val="0"/>
        <w:widowControl w:val="0"/>
        <w:kinsoku/>
        <w:wordWrap/>
        <w:overflowPunct/>
        <w:topLinePunct w:val="0"/>
        <w:autoSpaceDE w:val="0"/>
        <w:autoSpaceDN w:val="0"/>
        <w:bidi w:val="0"/>
        <w:adjustRightInd w:val="0"/>
        <w:snapToGrid w:val="0"/>
        <w:spacing w:line="440" w:lineRule="exact"/>
        <w:ind w:firstLine="482" w:firstLineChars="200"/>
        <w:rPr>
          <w:rFonts w:ascii="宋体" w:cs="仿宋_GB2312"/>
          <w:sz w:val="24"/>
        </w:rPr>
      </w:pPr>
      <w:r>
        <w:rPr>
          <w:rFonts w:hint="eastAsia" w:ascii="宋体" w:hAnsi="宋体" w:cs="仿宋_GB2312"/>
          <w:b/>
          <w:bCs/>
          <w:sz w:val="24"/>
        </w:rPr>
        <w:t>四、质量标准</w:t>
      </w:r>
    </w:p>
    <w:p w14:paraId="1AE127F6">
      <w:pPr>
        <w:keepNext w:val="0"/>
        <w:keepLines w:val="0"/>
        <w:pageBreakBefore w:val="0"/>
        <w:widowControl w:val="0"/>
        <w:kinsoku/>
        <w:wordWrap/>
        <w:overflowPunct/>
        <w:topLinePunct w:val="0"/>
        <w:autoSpaceDE w:val="0"/>
        <w:autoSpaceDN w:val="0"/>
        <w:bidi w:val="0"/>
        <w:spacing w:line="440" w:lineRule="exact"/>
        <w:ind w:left="1" w:firstLine="480" w:firstLineChars="200"/>
        <w:rPr>
          <w:rFonts w:ascii="宋体" w:cs="仿宋_GB2312"/>
          <w:kern w:val="0"/>
          <w:sz w:val="24"/>
        </w:rPr>
      </w:pPr>
      <w:r>
        <w:rPr>
          <w:rFonts w:hint="eastAsia" w:ascii="宋体" w:hAnsi="宋体" w:cs="仿宋_GB2312"/>
          <w:kern w:val="0"/>
          <w:sz w:val="24"/>
        </w:rPr>
        <w:t>样品检测应依照国家标准。若没有国家标准，可按照地方标准、卫生标准和相关的行业标准、企业标准、产品标签明示值或国家明文规定的限量值及国家指定的特定检验方法等进行检验。</w:t>
      </w:r>
    </w:p>
    <w:p w14:paraId="563C3594">
      <w:pPr>
        <w:keepNext w:val="0"/>
        <w:keepLines w:val="0"/>
        <w:pageBreakBefore w:val="0"/>
        <w:widowControl w:val="0"/>
        <w:kinsoku/>
        <w:wordWrap/>
        <w:overflowPunct/>
        <w:topLinePunct w:val="0"/>
        <w:autoSpaceDE w:val="0"/>
        <w:autoSpaceDN w:val="0"/>
        <w:bidi w:val="0"/>
        <w:adjustRightInd w:val="0"/>
        <w:snapToGrid w:val="0"/>
        <w:spacing w:line="440" w:lineRule="exact"/>
        <w:ind w:firstLine="482" w:firstLineChars="200"/>
        <w:rPr>
          <w:rFonts w:ascii="宋体" w:cs="仿宋_GB2312"/>
          <w:b/>
          <w:bCs/>
          <w:sz w:val="24"/>
        </w:rPr>
      </w:pPr>
      <w:r>
        <w:rPr>
          <w:rFonts w:hint="eastAsia" w:ascii="宋体" w:hAnsi="宋体" w:cs="仿宋_GB2312"/>
          <w:b/>
          <w:bCs/>
          <w:sz w:val="24"/>
        </w:rPr>
        <w:t>五、合同价款及付款方式</w:t>
      </w:r>
    </w:p>
    <w:p w14:paraId="6A740C5A">
      <w:pPr>
        <w:keepNext w:val="0"/>
        <w:keepLines w:val="0"/>
        <w:pageBreakBefore w:val="0"/>
        <w:widowControl w:val="0"/>
        <w:kinsoku/>
        <w:wordWrap/>
        <w:overflowPunct/>
        <w:topLinePunct w:val="0"/>
        <w:autoSpaceDE w:val="0"/>
        <w:autoSpaceDN w:val="0"/>
        <w:bidi w:val="0"/>
        <w:spacing w:line="440" w:lineRule="exact"/>
        <w:ind w:left="1" w:firstLine="480" w:firstLineChars="200"/>
        <w:rPr>
          <w:rFonts w:hint="eastAsia" w:ascii="宋体" w:hAnsi="宋体" w:cs="仿宋_GB2312"/>
          <w:kern w:val="0"/>
          <w:sz w:val="24"/>
          <w:lang w:val="en-US" w:eastAsia="zh-CN"/>
        </w:rPr>
      </w:pPr>
      <w:r>
        <w:rPr>
          <w:rFonts w:hint="eastAsia" w:ascii="宋体" w:hAnsi="宋体" w:cs="仿宋_GB2312"/>
          <w:kern w:val="0"/>
          <w:sz w:val="24"/>
        </w:rPr>
        <w:t>1.合同单价依据乙方投标报价文件中的检测项目报价表执行，该报价已包含样品购置费、采样服务费、检测费、运输费等所有费用。未涵盖的检测项目单价由甲乙双方参照市场行价协定。甲乙双方按照双方有关项目、数量、规格及价格等据实结算。</w:t>
      </w:r>
      <w:r>
        <w:rPr>
          <w:rFonts w:hint="eastAsia" w:ascii="宋体" w:hAnsi="宋体" w:cs="仿宋_GB2312"/>
          <w:kern w:val="0"/>
          <w:sz w:val="24"/>
          <w:lang w:val="en-US" w:eastAsia="zh-CN"/>
        </w:rPr>
        <w:t xml:space="preserve">  </w:t>
      </w:r>
    </w:p>
    <w:p w14:paraId="648CE8B4">
      <w:pPr>
        <w:keepNext w:val="0"/>
        <w:keepLines w:val="0"/>
        <w:pageBreakBefore w:val="0"/>
        <w:widowControl w:val="0"/>
        <w:kinsoku/>
        <w:wordWrap/>
        <w:overflowPunct/>
        <w:topLinePunct w:val="0"/>
        <w:autoSpaceDE w:val="0"/>
        <w:autoSpaceDN w:val="0"/>
        <w:bidi w:val="0"/>
        <w:spacing w:line="440" w:lineRule="exact"/>
        <w:ind w:left="1" w:firstLine="482" w:firstLineChars="200"/>
        <w:rPr>
          <w:rFonts w:hint="eastAsia" w:ascii="宋体" w:hAnsi="宋体" w:eastAsia="宋体" w:cs="宋体"/>
          <w:kern w:val="0"/>
          <w:sz w:val="24"/>
          <w:szCs w:val="24"/>
          <w:highlight w:val="none"/>
        </w:rPr>
      </w:pPr>
      <w:r>
        <w:rPr>
          <w:rFonts w:hint="eastAsia" w:ascii="宋体" w:hAnsi="宋体" w:eastAsia="宋体" w:cs="宋体"/>
          <w:b/>
          <w:sz w:val="24"/>
          <w:szCs w:val="24"/>
          <w:highlight w:val="none"/>
          <w:lang w:val="en-US" w:eastAsia="zh-CN"/>
        </w:rPr>
        <w:t>在2025年抽检实施工作中，如超出了2025年招标项目，优先按照同类项目最低价格进行结算，如果没有同类项目，则按照四家机构加权平均单项投标价格进行结算。</w:t>
      </w:r>
    </w:p>
    <w:p w14:paraId="1346AC6A">
      <w:pPr>
        <w:pStyle w:val="8"/>
        <w:keepNext w:val="0"/>
        <w:keepLines w:val="0"/>
        <w:pageBreakBefore w:val="0"/>
        <w:widowControl w:val="0"/>
        <w:kinsoku/>
        <w:wordWrap/>
        <w:overflowPunct/>
        <w:topLinePunct w:val="0"/>
        <w:autoSpaceDE w:val="0"/>
        <w:autoSpaceDN w:val="0"/>
        <w:bidi w:val="0"/>
        <w:spacing w:line="440" w:lineRule="exact"/>
        <w:ind w:firstLine="480" w:firstLineChars="200"/>
        <w:rPr>
          <w:rFonts w:hint="eastAsia" w:ascii="宋体" w:hAnsi="宋体" w:cs="仿宋_GB2312"/>
          <w:kern w:val="0"/>
          <w:sz w:val="24"/>
        </w:rPr>
      </w:pPr>
      <w:r>
        <w:rPr>
          <w:rFonts w:hint="eastAsia" w:ascii="宋体" w:hAnsi="宋体" w:cs="仿宋_GB2312"/>
          <w:kern w:val="0"/>
          <w:sz w:val="24"/>
        </w:rPr>
        <w:t>2.付款方式：</w:t>
      </w:r>
    </w:p>
    <w:p w14:paraId="3AA9ADD6">
      <w:pPr>
        <w:pStyle w:val="8"/>
        <w:keepNext w:val="0"/>
        <w:keepLines w:val="0"/>
        <w:pageBreakBefore w:val="0"/>
        <w:widowControl w:val="0"/>
        <w:kinsoku/>
        <w:wordWrap/>
        <w:overflowPunct/>
        <w:topLinePunct w:val="0"/>
        <w:autoSpaceDE w:val="0"/>
        <w:autoSpaceDN w:val="0"/>
        <w:bidi w:val="0"/>
        <w:spacing w:line="440" w:lineRule="exact"/>
        <w:ind w:firstLine="480" w:firstLineChars="200"/>
        <w:rPr>
          <w:rFonts w:hint="eastAsia" w:hAnsi="宋体" w:eastAsia="宋体"/>
          <w:color w:val="auto"/>
          <w:sz w:val="24"/>
          <w:szCs w:val="24"/>
          <w:highlight w:val="none"/>
          <w:lang w:eastAsia="zh-CN"/>
        </w:rPr>
      </w:pPr>
      <w:r>
        <w:rPr>
          <w:rFonts w:hint="eastAsia" w:hAnsi="宋体" w:eastAsia="宋体"/>
          <w:color w:val="auto"/>
          <w:sz w:val="24"/>
          <w:szCs w:val="24"/>
          <w:highlight w:val="none"/>
          <w:lang w:val="en-US" w:eastAsia="zh-CN"/>
        </w:rPr>
        <w:t>合同签订服务完成后，乙方向甲方提供所有检测报告及结算文件后，经甲方结算完成后，甲方在十个工作日内以银行转账方式向乙方支付合同总价的100%。</w:t>
      </w:r>
    </w:p>
    <w:p w14:paraId="4FA6A10D">
      <w:pPr>
        <w:keepNext w:val="0"/>
        <w:keepLines w:val="0"/>
        <w:pageBreakBefore w:val="0"/>
        <w:widowControl w:val="0"/>
        <w:kinsoku/>
        <w:wordWrap/>
        <w:overflowPunct/>
        <w:topLinePunct w:val="0"/>
        <w:autoSpaceDE w:val="0"/>
        <w:autoSpaceDN w:val="0"/>
        <w:bidi w:val="0"/>
        <w:spacing w:line="440" w:lineRule="exact"/>
        <w:ind w:left="1" w:firstLine="480" w:firstLineChars="200"/>
        <w:rPr>
          <w:rFonts w:ascii="宋体" w:cs="仿宋_GB2312"/>
          <w:kern w:val="0"/>
          <w:sz w:val="24"/>
        </w:rPr>
      </w:pPr>
      <w:r>
        <w:rPr>
          <w:rFonts w:hint="eastAsia" w:ascii="宋体" w:hAnsi="宋体" w:cs="仿宋_GB2312"/>
          <w:kern w:val="0"/>
          <w:sz w:val="24"/>
        </w:rPr>
        <w:t>3.结算方式：银行转账。</w:t>
      </w:r>
    </w:p>
    <w:p w14:paraId="0AC3799B">
      <w:pPr>
        <w:keepNext w:val="0"/>
        <w:keepLines w:val="0"/>
        <w:pageBreakBefore w:val="0"/>
        <w:widowControl w:val="0"/>
        <w:kinsoku/>
        <w:wordWrap/>
        <w:overflowPunct/>
        <w:topLinePunct w:val="0"/>
        <w:autoSpaceDE w:val="0"/>
        <w:autoSpaceDN w:val="0"/>
        <w:bidi w:val="0"/>
        <w:spacing w:line="440" w:lineRule="exact"/>
        <w:ind w:left="1" w:firstLine="482" w:firstLineChars="200"/>
        <w:rPr>
          <w:rFonts w:ascii="宋体" w:cs="仿宋_GB2312"/>
          <w:kern w:val="0"/>
          <w:sz w:val="24"/>
        </w:rPr>
      </w:pPr>
      <w:r>
        <w:rPr>
          <w:rFonts w:hint="eastAsia" w:ascii="宋体" w:hAnsi="宋体" w:cs="仿宋_GB2312"/>
          <w:b/>
          <w:bCs/>
          <w:sz w:val="24"/>
        </w:rPr>
        <w:t>六、甲方的权利和义务</w:t>
      </w:r>
    </w:p>
    <w:p w14:paraId="74825E7F">
      <w:pPr>
        <w:keepNext w:val="0"/>
        <w:keepLines w:val="0"/>
        <w:pageBreakBefore w:val="0"/>
        <w:widowControl w:val="0"/>
        <w:kinsoku/>
        <w:wordWrap/>
        <w:overflowPunct/>
        <w:topLinePunct w:val="0"/>
        <w:autoSpaceDE w:val="0"/>
        <w:autoSpaceDN w:val="0"/>
        <w:bidi w:val="0"/>
        <w:spacing w:line="440" w:lineRule="exact"/>
        <w:ind w:firstLine="470" w:firstLineChars="196"/>
        <w:rPr>
          <w:rFonts w:ascii="宋体" w:cs="仿宋_GB2312"/>
          <w:b/>
          <w:bCs/>
          <w:sz w:val="24"/>
        </w:rPr>
      </w:pPr>
      <w:r>
        <w:rPr>
          <w:rFonts w:hint="eastAsia" w:ascii="宋体" w:hAnsi="宋体" w:cs="仿宋_GB2312"/>
          <w:sz w:val="24"/>
        </w:rPr>
        <w:t>1.甲方负责抽检工作任务的下达和结算资金的及时拨付。</w:t>
      </w:r>
    </w:p>
    <w:p w14:paraId="5008AAF0">
      <w:pPr>
        <w:keepNext w:val="0"/>
        <w:keepLines w:val="0"/>
        <w:pageBreakBefore w:val="0"/>
        <w:widowControl w:val="0"/>
        <w:kinsoku/>
        <w:wordWrap/>
        <w:overflowPunct/>
        <w:topLinePunct w:val="0"/>
        <w:autoSpaceDE w:val="0"/>
        <w:autoSpaceDN w:val="0"/>
        <w:bidi w:val="0"/>
        <w:spacing w:line="440" w:lineRule="exact"/>
        <w:ind w:firstLine="480" w:firstLineChars="200"/>
        <w:textAlignment w:val="baseline"/>
        <w:rPr>
          <w:rFonts w:ascii="宋体" w:cs="仿宋_GB2312"/>
          <w:sz w:val="24"/>
        </w:rPr>
      </w:pPr>
      <w:r>
        <w:rPr>
          <w:rFonts w:hint="eastAsia" w:ascii="宋体" w:hAnsi="宋体" w:cs="仿宋_GB2312"/>
          <w:sz w:val="24"/>
        </w:rPr>
        <w:t>2.甲方应及时给乙方进行结算，乙方应在规定的时间内配合甲方做好结算工作；合同的实际结算额以甲方具体委托的任务数量乘以乙方投标时的单价为准，除此之外，甲方不再承担其他任何费用。</w:t>
      </w:r>
    </w:p>
    <w:p w14:paraId="63B189A9">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3.甲方应向乙方提供抽检工作所需相关文书。</w:t>
      </w:r>
    </w:p>
    <w:p w14:paraId="2E6AC61E">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4.甲方对乙方业务开展有具体的指导管理权利，有权要求乙方更换采样人员或负责阎良区域业务经理的权限；有权对乙方完成任务情况及检测质量、服务质量进行考核。如考核不达标，甲方可单方面停止乙方承担阎良区食品安全监督抽检任务的权利，且不承担任何违约责任。</w:t>
      </w:r>
    </w:p>
    <w:p w14:paraId="0DDBB232">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5.甲方可随时进入乙方实验检测场所，对乙方实验室检测能力及检测过程进行追溯检查，乙方应做好相关配合。</w:t>
      </w:r>
    </w:p>
    <w:p w14:paraId="24E00505">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6.甲方有权对乙方检测质量、服务质量建立负面清单，并按照负面清单对服务过程中存在的不合规行为进行处罚，乙方可进行举证，如无正当举证，乙方需无条件接受甲方给予的处罚。</w:t>
      </w:r>
    </w:p>
    <w:p w14:paraId="4B2031AF">
      <w:pPr>
        <w:keepNext w:val="0"/>
        <w:keepLines w:val="0"/>
        <w:pageBreakBefore w:val="0"/>
        <w:widowControl w:val="0"/>
        <w:kinsoku/>
        <w:wordWrap/>
        <w:overflowPunct/>
        <w:topLinePunct w:val="0"/>
        <w:autoSpaceDE w:val="0"/>
        <w:autoSpaceDN w:val="0"/>
        <w:bidi w:val="0"/>
        <w:spacing w:line="440" w:lineRule="exact"/>
        <w:ind w:firstLine="472" w:firstLineChars="196"/>
        <w:rPr>
          <w:rFonts w:ascii="宋体" w:cs="仿宋_GB2312"/>
          <w:b/>
          <w:bCs/>
          <w:sz w:val="24"/>
        </w:rPr>
      </w:pPr>
      <w:r>
        <w:rPr>
          <w:rFonts w:hint="eastAsia" w:ascii="宋体" w:hAnsi="宋体" w:cs="仿宋_GB2312"/>
          <w:b/>
          <w:bCs/>
          <w:sz w:val="24"/>
        </w:rPr>
        <w:t>七、乙方的权利和义务</w:t>
      </w:r>
    </w:p>
    <w:p w14:paraId="2B35C6C3">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1.乙方服从甲方的管理及具体考核要求。乙方接到甲方当月分配的抽检任务时，应结合自身实验室检测大数据，组织专家团队进行认真分析研判，拟定当月抽检意向单，包含抽样类别、风险项目、问题发现率（检出不合格食品批次占任务总数之比）等指标。乙方若未在甲方规定时间内，提交抽检意向单，结算时，乙方自愿每次接受甲方扣除检测服务费5000元，且甲方不承担任何违约责任。</w:t>
      </w:r>
    </w:p>
    <w:p w14:paraId="05EC1DD7">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hAnsi="宋体" w:cs="仿宋_GB2312"/>
          <w:color w:val="000000"/>
          <w:sz w:val="24"/>
        </w:rPr>
      </w:pPr>
      <w:r>
        <w:rPr>
          <w:rFonts w:hint="eastAsia" w:ascii="宋体" w:hAnsi="宋体" w:cs="仿宋_GB2312"/>
          <w:sz w:val="24"/>
        </w:rPr>
        <w:t>2.乙方在承担任务期间，应注重发现食品安全风险隐患，增强抽检的“靶向性”，努力提高抽检问题发现率</w:t>
      </w:r>
      <w:r>
        <w:rPr>
          <w:rFonts w:hint="eastAsia" w:ascii="宋体" w:hAnsi="宋体" w:cs="仿宋_GB2312"/>
          <w:color w:val="000000"/>
          <w:sz w:val="24"/>
        </w:rPr>
        <w:t>，如问题发现率</w:t>
      </w:r>
      <w:r>
        <w:rPr>
          <w:rFonts w:hint="eastAsia" w:ascii="宋体" w:hAnsi="宋体" w:cs="仿宋_GB2312"/>
          <w:color w:val="000000"/>
          <w:sz w:val="24"/>
          <w:lang w:eastAsia="zh-CN"/>
        </w:rPr>
        <w:t>低于</w:t>
      </w:r>
      <w:r>
        <w:rPr>
          <w:rFonts w:hint="eastAsia" w:ascii="宋体" w:hAnsi="宋体" w:cs="仿宋_GB2312"/>
          <w:color w:val="000000"/>
          <w:sz w:val="24"/>
          <w:lang w:val="en-US" w:eastAsia="zh-CN"/>
        </w:rPr>
        <w:t>3%</w:t>
      </w:r>
      <w:r>
        <w:rPr>
          <w:rFonts w:hint="eastAsia" w:ascii="宋体" w:hAnsi="宋体" w:cs="仿宋_GB2312"/>
          <w:color w:val="000000"/>
          <w:sz w:val="24"/>
        </w:rPr>
        <w:t>，</w:t>
      </w:r>
      <w:r>
        <w:rPr>
          <w:rFonts w:hint="eastAsia" w:ascii="宋体" w:hAnsi="宋体" w:cs="仿宋_GB2312"/>
          <w:color w:val="000000"/>
          <w:sz w:val="24"/>
          <w:lang w:eastAsia="zh-CN"/>
        </w:rPr>
        <w:t>乙方自愿接受甲方按照</w:t>
      </w:r>
      <w:r>
        <w:rPr>
          <w:rFonts w:hint="eastAsia" w:ascii="宋体" w:hAnsi="宋体" w:cs="仿宋_GB2312"/>
          <w:color w:val="000000"/>
          <w:sz w:val="24"/>
          <w:lang w:val="en-US" w:eastAsia="zh-CN"/>
        </w:rPr>
        <w:t>7</w:t>
      </w:r>
      <w:r>
        <w:rPr>
          <w:rFonts w:hint="eastAsia" w:ascii="宋体" w:hAnsi="宋体" w:cs="仿宋_GB2312"/>
          <w:color w:val="000000"/>
          <w:sz w:val="24"/>
        </w:rPr>
        <w:t>折比例</w:t>
      </w:r>
      <w:r>
        <w:rPr>
          <w:rFonts w:hint="eastAsia" w:ascii="宋体" w:hAnsi="宋体" w:cs="仿宋_GB2312"/>
          <w:color w:val="000000"/>
          <w:sz w:val="24"/>
          <w:lang w:eastAsia="zh-CN"/>
        </w:rPr>
        <w:t>结算</w:t>
      </w:r>
      <w:r>
        <w:rPr>
          <w:rFonts w:hint="eastAsia" w:ascii="宋体" w:hAnsi="宋体" w:cs="仿宋_GB2312"/>
          <w:color w:val="000000"/>
          <w:sz w:val="24"/>
        </w:rPr>
        <w:t>检测服务费。</w:t>
      </w:r>
    </w:p>
    <w:p w14:paraId="57E3625B">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3.乙方应固定2-4名采样人员到甲方指定区域采样，采样人员应具备专业的采样能力并熟练掌握《国家食品安全监督抽检细则》内容及要求。因乙方对采样人员培训不到位，导致采样人员在抽样环节出现操作不得当，程序不符合《国抽细则》要求而导致最终检测结论不成立或检测报告失效，每出现1例，乙方自愿承担2万元赔偿；若对甲方造成严重影响，乙方自愿承担5万元赔偿。</w:t>
      </w:r>
    </w:p>
    <w:p w14:paraId="613C7E62">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4.乙方应具备满足采样要求的车辆、温控及相关辅材、设备等，确保样品运输的安全性和行程记录的完整性，运输时间必须满足相关规定要求，若无法举证样品运输链数据，导致检测结论不成立或检测报告失效，乙方自愿承担每批次1万元的赔偿。乙方应自行承担在采样运输过程中的人员及车辆安全责任。疫情期间，乙方在抽检中要做好人员防护工作。</w:t>
      </w:r>
    </w:p>
    <w:p w14:paraId="776EAC0F">
      <w:pPr>
        <w:keepNext w:val="0"/>
        <w:keepLines w:val="0"/>
        <w:pageBreakBefore w:val="0"/>
        <w:widowControl w:val="0"/>
        <w:kinsoku/>
        <w:wordWrap/>
        <w:overflowPunct/>
        <w:topLinePunct w:val="0"/>
        <w:autoSpaceDE w:val="0"/>
        <w:autoSpaceDN w:val="0"/>
        <w:bidi w:val="0"/>
        <w:spacing w:line="440" w:lineRule="exact"/>
        <w:ind w:firstLine="360" w:firstLineChars="150"/>
        <w:rPr>
          <w:rFonts w:ascii="宋体" w:cs="仿宋_GB2312"/>
          <w:sz w:val="24"/>
        </w:rPr>
      </w:pPr>
      <w:r>
        <w:rPr>
          <w:rFonts w:hint="eastAsia" w:ascii="宋体" w:hAnsi="宋体" w:cs="仿宋_GB2312"/>
          <w:sz w:val="24"/>
        </w:rPr>
        <w:t>5.乙方应确保提供高效抽检服务，建立应急抽检预案，及时响应甲方应急抽检需求，应急抽检必须在接到甲方通知后2小时内抵达抽检现场，按时完成样品采集工作。若乙方在2小时内未抵达抽检现场，乙方自愿接受甲方每次扣除服务检测费2000元。</w:t>
      </w:r>
    </w:p>
    <w:p w14:paraId="44A70108">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6.乙方在合同期内不得分包检验检测任务，不得租赁或者借用他人检测设备。</w:t>
      </w:r>
    </w:p>
    <w:p w14:paraId="3968E35B">
      <w:pPr>
        <w:keepNext w:val="0"/>
        <w:keepLines w:val="0"/>
        <w:pageBreakBefore w:val="0"/>
        <w:widowControl w:val="0"/>
        <w:kinsoku/>
        <w:wordWrap/>
        <w:overflowPunct/>
        <w:topLinePunct w:val="0"/>
        <w:autoSpaceDE w:val="0"/>
        <w:autoSpaceDN w:val="0"/>
        <w:bidi w:val="0"/>
        <w:spacing w:line="440" w:lineRule="exact"/>
        <w:ind w:firstLine="480" w:firstLineChars="200"/>
        <w:rPr>
          <w:rFonts w:ascii="宋体" w:cs="仿宋_GB2312"/>
          <w:sz w:val="24"/>
        </w:rPr>
      </w:pPr>
      <w:r>
        <w:rPr>
          <w:rFonts w:hint="eastAsia" w:ascii="宋体" w:hAnsi="宋体" w:cs="仿宋_GB2312"/>
          <w:sz w:val="24"/>
        </w:rPr>
        <w:t>7.乙方应按照专业操守，尽其所能完成检验检测任务，确保所承担的抽样、检验等相关工作科学、公正、准确，自抽样之日起20个工作日内向甲方出具正式检验报告（合格报告一式二份）。</w:t>
      </w:r>
      <w:r>
        <w:rPr>
          <w:rFonts w:hint="eastAsia" w:ascii="宋体" w:hAnsi="宋体" w:cs="仿宋_GB2312"/>
          <w:kern w:val="0"/>
          <w:sz w:val="24"/>
        </w:rPr>
        <w:t>不合格报告，应于2个工作日内送达甲方（一式</w:t>
      </w:r>
      <w:r>
        <w:rPr>
          <w:rFonts w:hint="eastAsia" w:ascii="宋体" w:hAnsi="宋体" w:cs="仿宋_GB2312"/>
          <w:sz w:val="24"/>
        </w:rPr>
        <w:t>五</w:t>
      </w:r>
      <w:r>
        <w:rPr>
          <w:rFonts w:hint="eastAsia" w:ascii="宋体" w:hAnsi="宋体" w:cs="仿宋_GB2312"/>
          <w:kern w:val="0"/>
          <w:sz w:val="24"/>
        </w:rPr>
        <w:t>份）</w:t>
      </w:r>
      <w:r>
        <w:rPr>
          <w:rFonts w:hint="eastAsia" w:ascii="宋体" w:hAnsi="宋体" w:cs="仿宋_GB2312"/>
          <w:sz w:val="24"/>
        </w:rPr>
        <w:t>。</w:t>
      </w:r>
    </w:p>
    <w:p w14:paraId="0DDF89E0">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8.乙方应如实上报样品信息、检验检测结果和抽检工作总结，按时限要求将阎良区食品安全监督抽检数据录入国家食品抽检数据系统。及时将抽检数据，按照甲方要求分类汇总统计整理，在当月抽检任务完成后24小时内将汇总统计表报至甲方，及时提交样品信息、公示内容及样品抽检信息文件夹。如国抽系统数据录入出现不规范、错误、不及时、信息不完整或未在规定时限内送达甲方，乙方自愿接受甲方在结算时每次扣除乙方检测服务费2000元。</w:t>
      </w:r>
    </w:p>
    <w:p w14:paraId="1FCF8746">
      <w:pPr>
        <w:keepNext w:val="0"/>
        <w:keepLines w:val="0"/>
        <w:pageBreakBefore w:val="0"/>
        <w:widowControl w:val="0"/>
        <w:kinsoku/>
        <w:wordWrap/>
        <w:overflowPunct/>
        <w:topLinePunct w:val="0"/>
        <w:autoSpaceDE w:val="0"/>
        <w:autoSpaceDN w:val="0"/>
        <w:bidi w:val="0"/>
        <w:spacing w:line="440" w:lineRule="exact"/>
        <w:ind w:firstLine="480" w:firstLineChars="200"/>
        <w:rPr>
          <w:rFonts w:ascii="宋体" w:cs="仿宋_GB2312"/>
          <w:sz w:val="24"/>
        </w:rPr>
      </w:pPr>
      <w:r>
        <w:rPr>
          <w:rFonts w:hint="eastAsia" w:ascii="宋体" w:hAnsi="宋体" w:cs="仿宋_GB2312"/>
          <w:sz w:val="24"/>
        </w:rPr>
        <w:t>9.</w:t>
      </w:r>
      <w:r>
        <w:rPr>
          <w:rFonts w:hint="eastAsia" w:ascii="宋体" w:hAnsi="宋体"/>
          <w:sz w:val="24"/>
        </w:rPr>
        <w:t xml:space="preserve"> </w:t>
      </w:r>
      <w:r>
        <w:rPr>
          <w:rFonts w:hint="eastAsia" w:ascii="宋体" w:hAnsi="宋体" w:cs="仿宋_GB2312"/>
          <w:sz w:val="24"/>
        </w:rPr>
        <w:t>乙方在检测当中，检验结论表明不合格食品含有违法添加的非食用物质，或者存在致病性微生物、农药残留、兽药残留、生物毒素、重金属以及其他危害人体健康的物质严重超出标准限量等情形的，要按照有关规定在24小时内向甲方报告检验情况。若未按照有关规定在24小时向甲方报告，每出现一次，乙方自愿接受甲方在结算时扣除乙方检测服务费5万元。</w:t>
      </w:r>
    </w:p>
    <w:p w14:paraId="21347DD0">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10.在合同履行期间，乙方有义务免费对甲方相关人员进行相关专业知识培训，年度开展不少于2场次培训讲解工作，不少于2次的团队建设工作。乙方有派员进驻甲方所在地，免费支持甲方抽检相关工作需求的义务。乙方应根据甲方要求，向甲方提供保健食品、网络食品等其他抽检工作的技术支持及服务配合工作。</w:t>
      </w:r>
    </w:p>
    <w:p w14:paraId="68F44191">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11.乙方应严格遵守甲方关于抽检工作各环节的时间节点安排，及时将有关材料及时报送甲方，若出现环节失误或延迟，乙方自愿接受甲方每次扣除检测服务费500-2000元。乙方必须对甲方区域样品的相关检验检测数据进行保密，未经甲方书面同意不得公开及泄露。一旦公开泄露，甲方有权终止与乙方合同并追究相关机构及人员责任。</w:t>
      </w:r>
    </w:p>
    <w:p w14:paraId="26CF7D26">
      <w:pPr>
        <w:keepNext w:val="0"/>
        <w:keepLines w:val="0"/>
        <w:pageBreakBefore w:val="0"/>
        <w:widowControl w:val="0"/>
        <w:kinsoku/>
        <w:wordWrap/>
        <w:overflowPunct/>
        <w:topLinePunct w:val="0"/>
        <w:autoSpaceDE w:val="0"/>
        <w:autoSpaceDN w:val="0"/>
        <w:bidi w:val="0"/>
        <w:spacing w:line="440" w:lineRule="exact"/>
        <w:ind w:firstLine="491" w:firstLineChars="205"/>
        <w:rPr>
          <w:rFonts w:ascii="宋体" w:cs="仿宋_GB2312"/>
          <w:sz w:val="24"/>
        </w:rPr>
      </w:pPr>
      <w:r>
        <w:rPr>
          <w:rFonts w:hint="eastAsia" w:ascii="宋体" w:hAnsi="宋体" w:cs="仿宋_GB2312"/>
          <w:sz w:val="24"/>
        </w:rPr>
        <w:t>12. 乙方不得随意处置具有独立包装的备样，处置时需经甲方同意，否则乙方原价赔偿。</w:t>
      </w:r>
      <w:r>
        <w:rPr>
          <w:rFonts w:hint="eastAsia" w:ascii="宋体" w:cs="仿宋_GB2312"/>
          <w:sz w:val="24"/>
        </w:rPr>
        <w:t xml:space="preserve"> </w:t>
      </w:r>
    </w:p>
    <w:p w14:paraId="704EDDDF">
      <w:pPr>
        <w:keepNext w:val="0"/>
        <w:keepLines w:val="0"/>
        <w:pageBreakBefore w:val="0"/>
        <w:widowControl w:val="0"/>
        <w:kinsoku/>
        <w:wordWrap/>
        <w:overflowPunct/>
        <w:topLinePunct w:val="0"/>
        <w:autoSpaceDE w:val="0"/>
        <w:autoSpaceDN w:val="0"/>
        <w:bidi w:val="0"/>
        <w:spacing w:line="440" w:lineRule="exact"/>
        <w:ind w:firstLine="491" w:firstLineChars="205"/>
        <w:rPr>
          <w:rFonts w:hint="eastAsia" w:ascii="宋体" w:hAnsi="宋体" w:cs="仿宋_GB2312"/>
          <w:sz w:val="24"/>
        </w:rPr>
      </w:pPr>
      <w:r>
        <w:rPr>
          <w:rFonts w:hint="eastAsia" w:ascii="宋体" w:eastAsia="宋体" w:cs="仿宋_GB2312"/>
          <w:sz w:val="24"/>
          <w:lang w:val="en-US" w:eastAsia="zh-CN"/>
        </w:rPr>
        <w:t>13、乙方不得以单批次买样费超过检测费为由，拒绝抽样或变相不执行，一经发现甲方可暂停乙方抽检资格。</w:t>
      </w:r>
    </w:p>
    <w:p w14:paraId="4A1052BB">
      <w:pPr>
        <w:keepNext w:val="0"/>
        <w:keepLines w:val="0"/>
        <w:pageBreakBefore w:val="0"/>
        <w:widowControl w:val="0"/>
        <w:kinsoku/>
        <w:wordWrap/>
        <w:overflowPunct/>
        <w:topLinePunct w:val="0"/>
        <w:autoSpaceDE w:val="0"/>
        <w:autoSpaceDN w:val="0"/>
        <w:bidi w:val="0"/>
        <w:spacing w:line="440" w:lineRule="exact"/>
        <w:ind w:firstLine="491" w:firstLineChars="205"/>
        <w:rPr>
          <w:rFonts w:hint="eastAsia" w:ascii="宋体" w:hAnsi="宋体" w:cs="仿宋_GB2312"/>
          <w:sz w:val="24"/>
        </w:rPr>
      </w:pPr>
      <w:r>
        <w:rPr>
          <w:rFonts w:hint="eastAsia" w:ascii="宋体" w:hAnsi="宋体" w:cs="仿宋_GB2312"/>
          <w:sz w:val="24"/>
          <w:lang w:val="en-US" w:eastAsia="zh-CN"/>
        </w:rPr>
        <w:t>14</w:t>
      </w:r>
      <w:r>
        <w:rPr>
          <w:rFonts w:hint="eastAsia" w:ascii="宋体" w:hAnsi="宋体" w:cs="仿宋_GB2312"/>
          <w:sz w:val="24"/>
        </w:rPr>
        <w:t>. 乙方应严格遵守国家法律、法规的规定和抽检工作有关纪律要求，全面履行响应文件中的所有承诺。</w:t>
      </w:r>
    </w:p>
    <w:p w14:paraId="12183D2F">
      <w:pPr>
        <w:pStyle w:val="10"/>
        <w:keepNext w:val="0"/>
        <w:keepLines w:val="0"/>
        <w:pageBreakBefore w:val="0"/>
        <w:widowControl w:val="0"/>
        <w:kinsoku/>
        <w:wordWrap/>
        <w:overflowPunct/>
        <w:topLinePunct w:val="0"/>
        <w:autoSpaceDE w:val="0"/>
        <w:autoSpaceDN w:val="0"/>
        <w:bidi w:val="0"/>
        <w:spacing w:line="440" w:lineRule="exact"/>
        <w:ind w:left="0" w:leftChars="0" w:firstLine="480" w:firstLineChars="200"/>
      </w:pPr>
      <w:r>
        <w:rPr>
          <w:rFonts w:hint="eastAsia" w:ascii="宋体" w:hAnsi="宋体" w:eastAsia="宋体" w:cs="仿宋_GB2312"/>
          <w:sz w:val="24"/>
          <w:lang w:val="en-US" w:eastAsia="zh-CN"/>
        </w:rPr>
        <w:t>15、甲方预算资金未到账之前，乙方给予甲方谅解，不得无故滋事闹事或消极应付，拒绝执行甲方下达的任务等现象发生。</w:t>
      </w:r>
    </w:p>
    <w:p w14:paraId="0AA0BB83">
      <w:pPr>
        <w:keepNext w:val="0"/>
        <w:keepLines w:val="0"/>
        <w:pageBreakBefore w:val="0"/>
        <w:widowControl w:val="0"/>
        <w:kinsoku/>
        <w:wordWrap/>
        <w:overflowPunct/>
        <w:topLinePunct w:val="0"/>
        <w:autoSpaceDE w:val="0"/>
        <w:autoSpaceDN w:val="0"/>
        <w:bidi w:val="0"/>
        <w:spacing w:line="440" w:lineRule="exact"/>
        <w:ind w:firstLine="472" w:firstLineChars="196"/>
        <w:rPr>
          <w:rFonts w:ascii="宋体"/>
          <w:bCs/>
          <w:sz w:val="24"/>
        </w:rPr>
      </w:pPr>
      <w:r>
        <w:rPr>
          <w:rFonts w:hint="eastAsia" w:ascii="宋体" w:hAnsi="宋体" w:cs="仿宋_GB2312"/>
          <w:b/>
          <w:bCs/>
          <w:sz w:val="24"/>
        </w:rPr>
        <w:t>八、违约责任</w:t>
      </w:r>
    </w:p>
    <w:p w14:paraId="581DBF80">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1.如因乙方在采样中采取的措施、样品运输等方面不符合《国家食品安全监督抽检细则》要求，从而引起的检验检测报告失效，每发生1例，甲方有权扣除乙方检测费用2万元整；当事人申请复议成功，给甲方带来不良影响的，每发生1例，甲方有权扣除乙方检测服务费用5万元整。</w:t>
      </w:r>
    </w:p>
    <w:p w14:paraId="42A847B3">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2.乙方如出现抽样单填写不规范、现场取证不全面、数据录入、上传有差错，乙方应及时向甲方报告，积极采取补救措施，且自愿承担该批检测费用5至10倍的扣款；若乙方未及时或者未向甲方报告，结算时，扣除乙方3至5万元的检测服务费用，同时乙方应承担对甲方造成的经济、名誉等损失。</w:t>
      </w:r>
    </w:p>
    <w:p w14:paraId="5A0B1142">
      <w:pPr>
        <w:keepNext w:val="0"/>
        <w:keepLines w:val="0"/>
        <w:pageBreakBefore w:val="0"/>
        <w:widowControl w:val="0"/>
        <w:kinsoku/>
        <w:wordWrap/>
        <w:overflowPunct/>
        <w:topLinePunct w:val="0"/>
        <w:autoSpaceDE w:val="0"/>
        <w:autoSpaceDN w:val="0"/>
        <w:bidi w:val="0"/>
        <w:spacing w:line="440" w:lineRule="exact"/>
        <w:ind w:firstLine="570"/>
        <w:rPr>
          <w:rFonts w:ascii="宋体" w:cs="仿宋_GB2312"/>
          <w:sz w:val="24"/>
        </w:rPr>
      </w:pPr>
      <w:r>
        <w:rPr>
          <w:rFonts w:hint="eastAsia" w:ascii="宋体" w:hAnsi="宋体" w:cs="仿宋_GB2312"/>
          <w:sz w:val="24"/>
        </w:rPr>
        <w:t>3.乙方若未经甲方同意，随意更换采样人员，甲方有权取消乙方当月承担食品监督抽检的任务批次，由此影响甲方抽检进度，乙方自愿接受甲方在检测服务费中扣除乙方5000元。</w:t>
      </w:r>
    </w:p>
    <w:p w14:paraId="17B6C56F">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4.乙方如出具虚假报告或结论，一经发现，甲方有权立即终止与乙方合作，并上报相应政府部门依法处理。</w:t>
      </w:r>
    </w:p>
    <w:p w14:paraId="771E3D5C">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5.乙方如未按时响应甲方应急抽检需求，未及时提供食品安全事故原因技术数据书面分析材料或书面结论的，甲方有权终止乙方合作合同，且不承担任何违约责任。</w:t>
      </w:r>
    </w:p>
    <w:p w14:paraId="61A3A309">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6.因乙方的疏忽、失职、过错等原因给甲方或第三方造成损失，乙方承担全部责任。</w:t>
      </w:r>
    </w:p>
    <w:p w14:paraId="18D043CB">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7.乙方在甲方指定区域进行抽检时，若发生任何违纪行为，乙方自行承担所有法律责任，且甲方有权就此向乙方追责。</w:t>
      </w:r>
    </w:p>
    <w:p w14:paraId="6994BF90">
      <w:pPr>
        <w:keepNext w:val="0"/>
        <w:keepLines w:val="0"/>
        <w:pageBreakBefore w:val="0"/>
        <w:widowControl w:val="0"/>
        <w:kinsoku/>
        <w:wordWrap/>
        <w:overflowPunct/>
        <w:topLinePunct w:val="0"/>
        <w:autoSpaceDE w:val="0"/>
        <w:autoSpaceDN w:val="0"/>
        <w:bidi w:val="0"/>
        <w:spacing w:line="440" w:lineRule="exact"/>
        <w:ind w:firstLine="472" w:firstLineChars="196"/>
        <w:rPr>
          <w:rFonts w:ascii="宋体" w:cs="仿宋_GB2312"/>
          <w:b/>
          <w:bCs/>
          <w:sz w:val="24"/>
        </w:rPr>
      </w:pPr>
      <w:r>
        <w:rPr>
          <w:rFonts w:hint="eastAsia" w:ascii="宋体" w:hAnsi="宋体" w:cs="仿宋_GB2312"/>
          <w:b/>
          <w:bCs/>
          <w:sz w:val="24"/>
        </w:rPr>
        <w:t>九、适用法律及纠纷解决</w:t>
      </w:r>
    </w:p>
    <w:p w14:paraId="2A9013D6">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1.本协议适用中华人民共和国法律及其相关规定，如双方约定的内容与国家法律及相关规定相抵触时，双方可依法经协商一致后变更本协议。</w:t>
      </w:r>
    </w:p>
    <w:p w14:paraId="046DC45C">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2.在本协议履行过程中，双方当事人因本协议发生任何争议的，双方应尽最大努力协商解决；如协商未果，任何一方可以向阎良区人民法院申请仲裁或者提起诉讼。</w:t>
      </w:r>
    </w:p>
    <w:p w14:paraId="4A62051D">
      <w:pPr>
        <w:keepNext w:val="0"/>
        <w:keepLines w:val="0"/>
        <w:pageBreakBefore w:val="0"/>
        <w:widowControl w:val="0"/>
        <w:kinsoku/>
        <w:wordWrap/>
        <w:overflowPunct/>
        <w:topLinePunct w:val="0"/>
        <w:autoSpaceDE w:val="0"/>
        <w:autoSpaceDN w:val="0"/>
        <w:bidi w:val="0"/>
        <w:spacing w:line="440" w:lineRule="exact"/>
        <w:ind w:firstLine="472" w:firstLineChars="196"/>
        <w:rPr>
          <w:rFonts w:ascii="宋体" w:cs="仿宋_GB2312"/>
          <w:b/>
          <w:bCs/>
          <w:sz w:val="24"/>
        </w:rPr>
      </w:pPr>
      <w:r>
        <w:rPr>
          <w:rFonts w:hint="eastAsia" w:ascii="宋体" w:hAnsi="宋体" w:cs="仿宋_GB2312"/>
          <w:b/>
          <w:bCs/>
          <w:sz w:val="24"/>
        </w:rPr>
        <w:t>十、协议的生效、变更</w:t>
      </w:r>
    </w:p>
    <w:p w14:paraId="6C2E13A5">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1.本协议自双方签订时生效，有效期内双方不得无故单方面改变或终止合同的执行。</w:t>
      </w:r>
    </w:p>
    <w:p w14:paraId="3A407C76">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2.任何一方对于由不可抗力的原因造成的延迟交付或无法履行，均不负有法律责任，双方应共同协商变更或者解除本协议。</w:t>
      </w:r>
    </w:p>
    <w:p w14:paraId="60B0AF38">
      <w:pPr>
        <w:keepNext w:val="0"/>
        <w:keepLines w:val="0"/>
        <w:pageBreakBefore w:val="0"/>
        <w:widowControl w:val="0"/>
        <w:kinsoku/>
        <w:wordWrap/>
        <w:overflowPunct/>
        <w:topLinePunct w:val="0"/>
        <w:autoSpaceDE w:val="0"/>
        <w:autoSpaceDN w:val="0"/>
        <w:bidi w:val="0"/>
        <w:spacing w:line="440" w:lineRule="exact"/>
        <w:ind w:firstLine="472" w:firstLineChars="196"/>
        <w:rPr>
          <w:rFonts w:ascii="宋体" w:cs="仿宋_GB2312"/>
          <w:b/>
          <w:bCs/>
          <w:sz w:val="24"/>
        </w:rPr>
      </w:pPr>
      <w:r>
        <w:rPr>
          <w:rFonts w:hint="eastAsia" w:ascii="宋体" w:hAnsi="宋体" w:cs="仿宋_GB2312"/>
          <w:b/>
          <w:bCs/>
          <w:sz w:val="24"/>
        </w:rPr>
        <w:t>十一、协议的有效期、终止</w:t>
      </w:r>
    </w:p>
    <w:p w14:paraId="293BCC49">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本协议有效期截止生效后12个月或甲方向乙方检测费用结算完毕之日终止。</w:t>
      </w:r>
    </w:p>
    <w:p w14:paraId="5563EDDC">
      <w:pPr>
        <w:keepNext w:val="0"/>
        <w:keepLines w:val="0"/>
        <w:pageBreakBefore w:val="0"/>
        <w:widowControl w:val="0"/>
        <w:kinsoku/>
        <w:wordWrap/>
        <w:overflowPunct/>
        <w:topLinePunct w:val="0"/>
        <w:autoSpaceDE w:val="0"/>
        <w:autoSpaceDN w:val="0"/>
        <w:bidi w:val="0"/>
        <w:spacing w:line="440" w:lineRule="exact"/>
        <w:ind w:firstLine="472" w:firstLineChars="196"/>
        <w:rPr>
          <w:rFonts w:ascii="宋体" w:cs="仿宋_GB2312"/>
          <w:b/>
          <w:bCs/>
          <w:sz w:val="24"/>
        </w:rPr>
      </w:pPr>
      <w:r>
        <w:rPr>
          <w:rFonts w:hint="eastAsia" w:ascii="宋体" w:hAnsi="宋体" w:cs="仿宋_GB2312"/>
          <w:b/>
          <w:bCs/>
          <w:sz w:val="24"/>
        </w:rPr>
        <w:t>十二、附则</w:t>
      </w:r>
    </w:p>
    <w:p w14:paraId="2C72270D">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1.本协议一式伍份，甲方执叁份，乙方执贰份。</w:t>
      </w:r>
    </w:p>
    <w:p w14:paraId="7815757B">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2.本协议未尽事宜，可经甲、乙双方友好协商做出补充条款，补充条款与本协议具有同等法律效力。</w:t>
      </w:r>
    </w:p>
    <w:p w14:paraId="3FA62915">
      <w:pPr>
        <w:keepNext w:val="0"/>
        <w:keepLines w:val="0"/>
        <w:pageBreakBefore w:val="0"/>
        <w:widowControl w:val="0"/>
        <w:kinsoku/>
        <w:wordWrap/>
        <w:overflowPunct/>
        <w:topLinePunct w:val="0"/>
        <w:autoSpaceDE w:val="0"/>
        <w:autoSpaceDN w:val="0"/>
        <w:bidi w:val="0"/>
        <w:adjustRightInd w:val="0"/>
        <w:snapToGrid w:val="0"/>
        <w:spacing w:line="440" w:lineRule="exact"/>
        <w:ind w:firstLine="480" w:firstLineChars="200"/>
        <w:outlineLvl w:val="0"/>
        <w:rPr>
          <w:rFonts w:ascii="宋体" w:cs="仿宋_GB2312"/>
          <w:sz w:val="24"/>
        </w:rPr>
      </w:pPr>
      <w:r>
        <w:rPr>
          <w:rFonts w:hint="eastAsia" w:ascii="宋体" w:hAnsi="宋体" w:cs="仿宋_GB2312"/>
          <w:sz w:val="24"/>
        </w:rPr>
        <w:t>3.本协议经双方法定代表人或授权委托代理人签字并加盖单位公章后生效，履行完合同规定后，即时废止。</w:t>
      </w:r>
    </w:p>
    <w:p w14:paraId="6CE6E9D0">
      <w:pPr>
        <w:spacing w:line="360" w:lineRule="auto"/>
        <w:ind w:firstLine="480" w:firstLineChars="200"/>
        <w:rPr>
          <w:rFonts w:hint="eastAsia" w:ascii="宋体" w:hAnsi="宋体" w:cs="仿宋_GB2312"/>
          <w:sz w:val="24"/>
        </w:rPr>
      </w:pPr>
    </w:p>
    <w:p w14:paraId="3A6A2DF1">
      <w:pPr>
        <w:spacing w:line="360" w:lineRule="auto"/>
        <w:ind w:firstLine="480" w:firstLineChars="200"/>
        <w:rPr>
          <w:rFonts w:hint="eastAsia" w:ascii="宋体" w:hAnsi="宋体" w:cs="仿宋_GB2312"/>
          <w:sz w:val="24"/>
        </w:rPr>
      </w:pPr>
    </w:p>
    <w:p w14:paraId="102ADBFD">
      <w:pPr>
        <w:spacing w:line="360" w:lineRule="auto"/>
        <w:ind w:firstLine="480" w:firstLineChars="200"/>
        <w:rPr>
          <w:rFonts w:ascii="宋体" w:cs="仿宋_GB2312"/>
          <w:sz w:val="24"/>
        </w:rPr>
      </w:pPr>
      <w:r>
        <w:rPr>
          <w:rFonts w:hint="eastAsia" w:ascii="宋体" w:hAnsi="宋体" w:cs="仿宋_GB2312"/>
          <w:sz w:val="24"/>
        </w:rPr>
        <w:t>甲方（单位盖章）：                          乙方（单位盖章）：</w:t>
      </w:r>
    </w:p>
    <w:p w14:paraId="2BAA28DF">
      <w:pPr>
        <w:spacing w:line="360" w:lineRule="auto"/>
        <w:ind w:firstLine="480" w:firstLineChars="200"/>
        <w:rPr>
          <w:rFonts w:ascii="宋体" w:hAnsi="宋体" w:cs="仿宋_GB2312"/>
          <w:sz w:val="24"/>
        </w:rPr>
      </w:pPr>
      <w:r>
        <w:rPr>
          <w:rFonts w:hint="eastAsia" w:ascii="宋体" w:hAnsi="宋体" w:cs="仿宋_GB2312"/>
          <w:sz w:val="24"/>
        </w:rPr>
        <w:t xml:space="preserve"> </w:t>
      </w:r>
    </w:p>
    <w:p w14:paraId="0ACB570C">
      <w:pPr>
        <w:spacing w:line="360" w:lineRule="auto"/>
        <w:ind w:firstLine="480" w:firstLineChars="200"/>
        <w:rPr>
          <w:rFonts w:ascii="宋体" w:cs="仿宋_GB2312"/>
          <w:sz w:val="24"/>
        </w:rPr>
      </w:pPr>
      <w:r>
        <w:rPr>
          <w:rFonts w:hint="eastAsia" w:ascii="宋体" w:hAnsi="宋体" w:cs="仿宋_GB2312"/>
          <w:sz w:val="24"/>
        </w:rPr>
        <w:t>甲方法定代表人（签字）：                      乙方法定代表人（签字）：</w:t>
      </w:r>
    </w:p>
    <w:p w14:paraId="25638A64">
      <w:pPr>
        <w:spacing w:line="360" w:lineRule="auto"/>
        <w:ind w:firstLine="480" w:firstLineChars="200"/>
        <w:rPr>
          <w:rFonts w:ascii="宋体" w:hAnsi="宋体" w:cs="仿宋_GB2312"/>
          <w:sz w:val="24"/>
        </w:rPr>
      </w:pPr>
      <w:r>
        <w:rPr>
          <w:rFonts w:hint="eastAsia" w:ascii="宋体" w:hAnsi="宋体" w:cs="仿宋_GB2312"/>
          <w:sz w:val="24"/>
        </w:rPr>
        <w:t xml:space="preserve"> </w:t>
      </w:r>
    </w:p>
    <w:p w14:paraId="1DB48E50">
      <w:pPr>
        <w:rPr>
          <w:rFonts w:hint="eastAsia" w:ascii="宋体" w:hAnsi="宋体" w:eastAsia="宋体" w:cs="Times New Roman"/>
          <w:color w:val="auto"/>
          <w:sz w:val="24"/>
          <w:szCs w:val="24"/>
        </w:rPr>
      </w:pPr>
      <w:r>
        <w:rPr>
          <w:rFonts w:hint="eastAsia" w:ascii="宋体" w:hAnsi="宋体" w:cs="仿宋_GB2312"/>
          <w:sz w:val="24"/>
        </w:rPr>
        <w:t xml:space="preserve">       年   月   日                                  年   月   日</w:t>
      </w:r>
    </w:p>
    <w:p w14:paraId="3E2AA332">
      <w:pPr>
        <w:pStyle w:val="19"/>
        <w:rPr>
          <w:rFonts w:hint="eastAsia"/>
          <w:lang w:val="en-US" w:eastAsia="zh-Hans"/>
        </w:rPr>
      </w:pPr>
    </w:p>
    <w:p w14:paraId="72FFEFDA">
      <w:bookmarkStart w:id="1" w:name="_GoBack"/>
      <w:bookmarkEnd w:id="1"/>
    </w:p>
    <w:sectPr>
      <w:footerReference r:id="rId3" w:type="default"/>
      <w:pgSz w:w="11906" w:h="16838"/>
      <w:pgMar w:top="1440" w:right="1463" w:bottom="1440" w:left="146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571C6">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E869D4">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FE869D4">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A11D71"/>
    <w:multiLevelType w:val="multilevel"/>
    <w:tmpl w:val="05A11D71"/>
    <w:lvl w:ilvl="0" w:tentative="0">
      <w:start w:val="1"/>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22CF8"/>
    <w:rsid w:val="004F0F4D"/>
    <w:rsid w:val="010857E2"/>
    <w:rsid w:val="02D47D39"/>
    <w:rsid w:val="052D7F46"/>
    <w:rsid w:val="05362B05"/>
    <w:rsid w:val="05AD64DF"/>
    <w:rsid w:val="07B86B01"/>
    <w:rsid w:val="07BE535D"/>
    <w:rsid w:val="09CA6B57"/>
    <w:rsid w:val="0ADE34F7"/>
    <w:rsid w:val="0ADE719B"/>
    <w:rsid w:val="0B5C4D03"/>
    <w:rsid w:val="0B735881"/>
    <w:rsid w:val="0CA653DC"/>
    <w:rsid w:val="0CF5561A"/>
    <w:rsid w:val="0E274C11"/>
    <w:rsid w:val="11F33501"/>
    <w:rsid w:val="16CB66C2"/>
    <w:rsid w:val="191D1F47"/>
    <w:rsid w:val="196640D0"/>
    <w:rsid w:val="1C382B5F"/>
    <w:rsid w:val="1CB93D9D"/>
    <w:rsid w:val="1D48524C"/>
    <w:rsid w:val="1D840B24"/>
    <w:rsid w:val="1ECD5B85"/>
    <w:rsid w:val="21CF61DE"/>
    <w:rsid w:val="22B43433"/>
    <w:rsid w:val="22F664C5"/>
    <w:rsid w:val="24CA4BBB"/>
    <w:rsid w:val="25273966"/>
    <w:rsid w:val="257E4A9D"/>
    <w:rsid w:val="25E32F85"/>
    <w:rsid w:val="283050FB"/>
    <w:rsid w:val="28F04CA6"/>
    <w:rsid w:val="2975156E"/>
    <w:rsid w:val="2CD87928"/>
    <w:rsid w:val="2D665C1C"/>
    <w:rsid w:val="2D7C41E1"/>
    <w:rsid w:val="2DE17B90"/>
    <w:rsid w:val="303403EF"/>
    <w:rsid w:val="308466D8"/>
    <w:rsid w:val="31D847AC"/>
    <w:rsid w:val="32023431"/>
    <w:rsid w:val="32A83CD6"/>
    <w:rsid w:val="337068B0"/>
    <w:rsid w:val="341235E7"/>
    <w:rsid w:val="34420C73"/>
    <w:rsid w:val="34DA0A32"/>
    <w:rsid w:val="35C6510A"/>
    <w:rsid w:val="360E18B1"/>
    <w:rsid w:val="378F3624"/>
    <w:rsid w:val="3B2C22D1"/>
    <w:rsid w:val="3BAA0841"/>
    <w:rsid w:val="3BE663F2"/>
    <w:rsid w:val="3BF3011D"/>
    <w:rsid w:val="3D9D2854"/>
    <w:rsid w:val="40082293"/>
    <w:rsid w:val="40083152"/>
    <w:rsid w:val="430B16C1"/>
    <w:rsid w:val="44C63A0B"/>
    <w:rsid w:val="45184A60"/>
    <w:rsid w:val="455C75A3"/>
    <w:rsid w:val="474F7F57"/>
    <w:rsid w:val="4CFA792D"/>
    <w:rsid w:val="4D1D7170"/>
    <w:rsid w:val="4D646013"/>
    <w:rsid w:val="525F614B"/>
    <w:rsid w:val="53337C8C"/>
    <w:rsid w:val="542D3DC5"/>
    <w:rsid w:val="57640CEA"/>
    <w:rsid w:val="57923690"/>
    <w:rsid w:val="5BF84DFD"/>
    <w:rsid w:val="5D632CDE"/>
    <w:rsid w:val="5EF37821"/>
    <w:rsid w:val="61D36C4B"/>
    <w:rsid w:val="61EC24E5"/>
    <w:rsid w:val="629B747C"/>
    <w:rsid w:val="65A46809"/>
    <w:rsid w:val="67826B95"/>
    <w:rsid w:val="67984807"/>
    <w:rsid w:val="69022CF8"/>
    <w:rsid w:val="6C775A02"/>
    <w:rsid w:val="6CB20263"/>
    <w:rsid w:val="6E3B0847"/>
    <w:rsid w:val="6EE70791"/>
    <w:rsid w:val="6F462F26"/>
    <w:rsid w:val="704260BE"/>
    <w:rsid w:val="71310596"/>
    <w:rsid w:val="74844791"/>
    <w:rsid w:val="74D45855"/>
    <w:rsid w:val="74DD3202"/>
    <w:rsid w:val="76676215"/>
    <w:rsid w:val="76F1383A"/>
    <w:rsid w:val="77062109"/>
    <w:rsid w:val="7AD5146A"/>
    <w:rsid w:val="7AFE2D3C"/>
    <w:rsid w:val="7B637D31"/>
    <w:rsid w:val="7BE47684"/>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autoRedefine/>
    <w:qFormat/>
    <w:uiPriority w:val="0"/>
    <w:pPr>
      <w:keepNext/>
      <w:keepLines/>
      <w:adjustRightInd w:val="0"/>
      <w:snapToGrid w:val="0"/>
      <w:spacing w:beforeLines="0" w:beforeAutospacing="0" w:afterLines="0" w:afterAutospacing="0" w:line="360" w:lineRule="auto"/>
      <w:jc w:val="center"/>
      <w:outlineLvl w:val="0"/>
    </w:pPr>
    <w:rPr>
      <w:rFonts w:ascii="Times New Roman" w:hAnsi="Times New Roman" w:eastAsia="宋体" w:cs="Times New Roman"/>
      <w:b/>
      <w:kern w:val="44"/>
      <w:sz w:val="32"/>
      <w:szCs w:val="24"/>
      <w:lang w:eastAsia="zh-CN"/>
    </w:rPr>
  </w:style>
  <w:style w:type="paragraph" w:styleId="3">
    <w:name w:val="heading 2"/>
    <w:basedOn w:val="1"/>
    <w:next w:val="1"/>
    <w:link w:val="15"/>
    <w:autoRedefine/>
    <w:semiHidden/>
    <w:unhideWhenUsed/>
    <w:qFormat/>
    <w:uiPriority w:val="0"/>
    <w:pPr>
      <w:keepNext/>
      <w:keepLines/>
      <w:widowControl/>
      <w:spacing w:before="140" w:beforeLines="0" w:after="140" w:afterLines="0" w:line="240" w:lineRule="auto"/>
      <w:ind w:left="284"/>
      <w:jc w:val="left"/>
      <w:outlineLvl w:val="1"/>
    </w:pPr>
    <w:rPr>
      <w:rFonts w:ascii="Arial" w:hAnsi="Arial" w:eastAsia="宋体" w:cs="Times New Roman"/>
      <w:b/>
      <w:bCs/>
      <w:kern w:val="2"/>
      <w:sz w:val="28"/>
      <w:szCs w:val="32"/>
      <w:lang w:eastAsia="zh-CN"/>
    </w:rPr>
  </w:style>
  <w:style w:type="paragraph" w:styleId="4">
    <w:name w:val="heading 3"/>
    <w:basedOn w:val="1"/>
    <w:next w:val="1"/>
    <w:link w:val="16"/>
    <w:autoRedefine/>
    <w:semiHidden/>
    <w:unhideWhenUsed/>
    <w:qFormat/>
    <w:uiPriority w:val="0"/>
    <w:pPr>
      <w:keepNext/>
      <w:adjustRightInd w:val="0"/>
      <w:snapToGrid w:val="0"/>
      <w:spacing w:before="120" w:after="120" w:line="240" w:lineRule="auto"/>
      <w:ind w:firstLine="562" w:firstLineChars="200"/>
      <w:jc w:val="left"/>
      <w:outlineLvl w:val="2"/>
    </w:pPr>
    <w:rPr>
      <w:rFonts w:ascii="Calibri" w:hAnsi="Calibri" w:eastAsia="宋体" w:cs="宋体"/>
      <w:b/>
      <w:kern w:val="2"/>
      <w:sz w:val="28"/>
      <w:szCs w:val="28"/>
      <w:lang w:eastAsia="zh-CN"/>
    </w:rPr>
  </w:style>
  <w:style w:type="paragraph" w:styleId="5">
    <w:name w:val="heading 4"/>
    <w:basedOn w:val="1"/>
    <w:next w:val="1"/>
    <w:autoRedefine/>
    <w:semiHidden/>
    <w:unhideWhenUsed/>
    <w:qFormat/>
    <w:uiPriority w:val="0"/>
    <w:pPr>
      <w:keepNext/>
      <w:keepLines/>
      <w:adjustRightInd w:val="0"/>
      <w:snapToGrid w:val="0"/>
      <w:spacing w:line="360" w:lineRule="auto"/>
      <w:ind w:firstLine="643" w:firstLineChars="200"/>
      <w:jc w:val="both"/>
      <w:outlineLvl w:val="3"/>
    </w:pPr>
    <w:rPr>
      <w:rFonts w:ascii="Arial" w:hAnsi="Arial" w:eastAsia="仿宋" w:cs="Times New Roman"/>
      <w:b/>
      <w:bCs/>
      <w:kern w:val="2"/>
      <w:sz w:val="28"/>
      <w:szCs w:val="28"/>
      <w:lang w:eastAsia="zh-CN"/>
    </w:rPr>
  </w:style>
  <w:style w:type="character" w:default="1" w:styleId="13">
    <w:name w:val="Default Paragraph Font"/>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qFormat/>
    <w:uiPriority w:val="0"/>
    <w:rPr>
      <w:color w:val="993300"/>
      <w:sz w:val="24"/>
    </w:rPr>
  </w:style>
  <w:style w:type="paragraph" w:styleId="7">
    <w:name w:val="Body Text Indent"/>
    <w:basedOn w:val="1"/>
    <w:qFormat/>
    <w:uiPriority w:val="0"/>
    <w:pPr>
      <w:spacing w:after="120" w:afterLines="0"/>
      <w:ind w:left="420" w:leftChars="200"/>
    </w:p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6"/>
    <w:next w:val="11"/>
    <w:unhideWhenUsed/>
    <w:qFormat/>
    <w:uiPriority w:val="99"/>
    <w:pPr>
      <w:ind w:firstLine="420" w:firstLineChars="100"/>
    </w:pPr>
  </w:style>
  <w:style w:type="paragraph" w:styleId="11">
    <w:name w:val="Body Text First Indent 2"/>
    <w:basedOn w:val="7"/>
    <w:next w:val="1"/>
    <w:qFormat/>
    <w:uiPriority w:val="0"/>
    <w:pPr>
      <w:ind w:firstLine="420" w:firstLineChars="200"/>
    </w:pPr>
  </w:style>
  <w:style w:type="character" w:customStyle="1" w:styleId="14">
    <w:name w:val="标题 1 Char"/>
    <w:basedOn w:val="13"/>
    <w:link w:val="2"/>
    <w:qFormat/>
    <w:uiPriority w:val="0"/>
    <w:rPr>
      <w:rFonts w:hint="eastAsia" w:ascii="Times New Roman" w:hAnsi="Times New Roman" w:eastAsia="宋体" w:cs="Times New Roman"/>
      <w:b/>
      <w:bCs/>
      <w:snapToGrid w:val="0"/>
      <w:color w:val="000000"/>
      <w:kern w:val="0"/>
      <w:sz w:val="32"/>
      <w:szCs w:val="24"/>
      <w:lang w:eastAsia="zh-CN"/>
    </w:rPr>
  </w:style>
  <w:style w:type="character" w:customStyle="1" w:styleId="15">
    <w:name w:val="标题 2 Char"/>
    <w:link w:val="3"/>
    <w:qFormat/>
    <w:uiPriority w:val="0"/>
    <w:rPr>
      <w:rFonts w:ascii="Arial" w:hAnsi="Arial" w:eastAsia="宋体" w:cs="Times New Roman"/>
      <w:b/>
      <w:bCs/>
      <w:snapToGrid w:val="0"/>
      <w:color w:val="000000"/>
      <w:kern w:val="2"/>
      <w:sz w:val="28"/>
      <w:szCs w:val="32"/>
      <w:lang w:val="en-US" w:eastAsia="zh-CN" w:bidi="ar-SA"/>
    </w:rPr>
  </w:style>
  <w:style w:type="character" w:customStyle="1" w:styleId="16">
    <w:name w:val="标题 3 Char"/>
    <w:link w:val="4"/>
    <w:autoRedefine/>
    <w:qFormat/>
    <w:uiPriority w:val="0"/>
    <w:rPr>
      <w:rFonts w:ascii="Calibri" w:hAnsi="Calibri" w:eastAsia="宋体" w:cs="宋体"/>
      <w:b/>
      <w:kern w:val="2"/>
      <w:sz w:val="28"/>
      <w:szCs w:val="28"/>
      <w:lang w:val="en-US" w:eastAsia="zh-CN" w:bidi="ar-SA"/>
    </w:rPr>
  </w:style>
  <w:style w:type="paragraph" w:customStyle="1" w:styleId="17">
    <w:name w:val="Heading #3|1"/>
    <w:basedOn w:val="1"/>
    <w:link w:val="18"/>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8">
    <w:name w:val="Heading #3|1_"/>
    <w:basedOn w:val="13"/>
    <w:link w:val="17"/>
    <w:qFormat/>
    <w:uiPriority w:val="0"/>
    <w:rPr>
      <w:rFonts w:ascii="宋体" w:hAnsi="宋体" w:eastAsia="宋体" w:cs="宋体"/>
      <w:sz w:val="32"/>
      <w:szCs w:val="32"/>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表格文字"/>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2025-05-16T03:58:00Z</dcterms:created>
  <dc:creator>热血</dc:creator>
  <cp:lastModifiedBy>热血</cp:lastModifiedBy>
  <dcterms:modified xsi:type="dcterms:W3CDTF">2025-05-16T03:58:53Z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4ADD05E79D1949968365EFE4A4DC1DD2_11</vt:lpwstr>
  </property>
  <property fmtid="{D5CDD505-2E9C-101B-9397-08002B2CF9AE}" pid="4" name="KSOTemplateDocerSaveRecord">
    <vt:lpwstr>eyJoZGlkIjoiNGMwOWFhODgzZDhlNTZkZTM4ZGZlZTJjYWNmNDI0YzUiLCJ1c2VySWQiOiI0ODE1MzEwNjcifQ==</vt:lpwstr>
  </property>
</Properties>
</file>