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版本号：ZDYT-ZB-2025（15）20250520001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阎良区西飞第一中学宿舍楼电路改造工程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ZDYT-ZB-2025（15）</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阎良区西飞第一中学宿舍楼电路改造工程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阎良区西飞第一中学宿舍楼电路改造工程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西飞第一中学宿舍楼电路改造工程主要为1#、2#、4#、5#宿舍楼电气工程包括配电箱、小电器、电气配管、电力电缆、电缆桥架的安装等；室外电气工程包括电力电缆及电缆保护管安装、电缆沟土石方挖土、填土、铺砂、盖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采购包1（阎良区西飞第一中学宿舍楼电路改造工程）：属于专门面向中小企业采购。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2、供应商营业执照：供应商须具有独立承担民事责任能力的法人、其他组织或自然人，提供营业执照/事业单位法人证书/非企业专业服务机构执业许可证/自然人身份证。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4、企业资质：供应商须具备建设行政主管部门颁发的建筑工程施工总承包三级及以上资质或建筑机电安装工程专业承包三级及以上资质，同时具有有效的安全生产许可证。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专业：建筑工程专业或机电工程专业 补充说明：拟派项目经理具有建筑工程专业或机电工程专业二级（含）以上注册建造师证书及安全生产考核合格证书，且未担任其他在施建设工程。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采购包1：977,233.24元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交纳采购代理服务费(招标代理服务费和造价咨询服务费），此笔采购代理服务费由成交人代为支付。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977,233.24</w:t>
      </w:r>
    </w:p>
    <w:p>
      <w:pPr>
        <w:pStyle w:val="null3"/>
      </w:pPr>
      <w:r>
        <w:rPr>
          <w:rFonts w:ascii="仿宋_GB2312" w:hAnsi="仿宋_GB2312" w:cs="仿宋_GB2312" w:eastAsia="仿宋_GB2312"/>
        </w:rPr>
        <w:t>采购包最高限价（元）: 977,233.24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阎良区西飞第一中学宿舍楼电路改造工程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977,233.24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标的名称：阎良区西飞第一中学宿舍楼电路改造工程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55"/>
              <w:jc w:val="left"/>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阎良区西飞第一中学宿舍楼电路改造工程施工图纸及问题说明进行计算、编制；</w:t>
            </w:r>
          </w:p>
          <w:p>
            <w:pPr>
              <w:pStyle w:val="null3"/>
              <w:ind w:firstLine="560"/>
              <w:jc w:val="both"/>
            </w:pPr>
            <w:r>
              <w:rPr>
                <w:rFonts w:ascii="仿宋_GB2312" w:hAnsi="仿宋_GB2312" w:cs="仿宋_GB2312" w:eastAsia="仿宋_GB2312"/>
                <w:sz w:val="28"/>
              </w:rPr>
              <w:t>2、《建设工程工程量清单计价规范》（GB50500-2008）、《陕西省建设工程工程量清单计价规则》（2009）；</w:t>
            </w:r>
          </w:p>
          <w:p>
            <w:pPr>
              <w:pStyle w:val="null3"/>
              <w:ind w:firstLine="560"/>
              <w:jc w:val="both"/>
            </w:pPr>
            <w:r>
              <w:rPr>
                <w:rFonts w:ascii="仿宋_GB2312" w:hAnsi="仿宋_GB2312" w:cs="仿宋_GB2312" w:eastAsia="仿宋_GB2312"/>
                <w:sz w:val="28"/>
              </w:rPr>
              <w:t>3、《陕西省建筑、装饰工程消耗量定额》2004、《陕西省市政</w:t>
            </w:r>
            <w:r>
              <w:rPr>
                <w:rFonts w:ascii="仿宋_GB2312" w:hAnsi="仿宋_GB2312" w:cs="仿宋_GB2312" w:eastAsia="仿宋_GB2312"/>
                <w:sz w:val="28"/>
              </w:rPr>
              <w:t>、</w:t>
            </w:r>
            <w:r>
              <w:rPr>
                <w:rFonts w:ascii="仿宋_GB2312" w:hAnsi="仿宋_GB2312" w:cs="仿宋_GB2312" w:eastAsia="仿宋_GB2312"/>
                <w:sz w:val="28"/>
              </w:rPr>
              <w:t>景观绿化工程消耗量定额》</w:t>
            </w:r>
            <w:r>
              <w:rPr>
                <w:rFonts w:ascii="仿宋_GB2312" w:hAnsi="仿宋_GB2312" w:cs="仿宋_GB2312" w:eastAsia="仿宋_GB2312"/>
                <w:sz w:val="28"/>
              </w:rPr>
              <w:t>2004、《陕西省安装工程消耗量定额》2004及《陕西省建设工程消耗量定额勘误及补充定额》2009；</w:t>
            </w:r>
          </w:p>
          <w:p>
            <w:pPr>
              <w:pStyle w:val="null3"/>
              <w:ind w:firstLine="560"/>
              <w:jc w:val="both"/>
            </w:pPr>
            <w:r>
              <w:rPr>
                <w:rFonts w:ascii="仿宋_GB2312" w:hAnsi="仿宋_GB2312" w:cs="仿宋_GB2312" w:eastAsia="仿宋_GB2312"/>
                <w:sz w:val="28"/>
              </w:rPr>
              <w:t>4、《陕西省建筑、装饰工程价目表》2009、《陕西省安装工程价目表》2009、《陕西省建设工程施工机械台班价目表》2009、《</w:t>
            </w:r>
            <w:r>
              <w:rPr>
                <w:rFonts w:ascii="仿宋_GB2312" w:hAnsi="仿宋_GB2312" w:cs="仿宋_GB2312" w:eastAsia="仿宋_GB2312"/>
                <w:sz w:val="28"/>
              </w:rPr>
              <w:t>全统修缮定额土建工程陕西省价目表</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1</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5、陕建发[2016]100号文</w:t>
            </w:r>
            <w:r>
              <w:rPr>
                <w:rFonts w:ascii="仿宋_GB2312" w:hAnsi="仿宋_GB2312" w:cs="仿宋_GB2312" w:eastAsia="仿宋_GB2312"/>
                <w:sz w:val="28"/>
              </w:rPr>
              <w:t>《</w:t>
            </w:r>
            <w:r>
              <w:rPr>
                <w:rFonts w:ascii="仿宋_GB2312" w:hAnsi="仿宋_GB2312" w:cs="仿宋_GB2312" w:eastAsia="仿宋_GB2312"/>
                <w:sz w:val="28"/>
              </w:rPr>
              <w:t>关于</w:t>
            </w:r>
            <w:r>
              <w:rPr>
                <w:rFonts w:ascii="仿宋_GB2312" w:hAnsi="仿宋_GB2312" w:cs="仿宋_GB2312" w:eastAsia="仿宋_GB2312"/>
                <w:sz w:val="28"/>
                <w:color w:val="000000"/>
              </w:rPr>
              <w:t>营改增调整办法的通知</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6、陕建发[2017]270号文《关于增加建设工程扬尘治理专项措施费及综合人工单价调整的通知》；</w:t>
            </w:r>
          </w:p>
          <w:p>
            <w:pPr>
              <w:pStyle w:val="null3"/>
              <w:ind w:firstLine="560"/>
              <w:jc w:val="both"/>
            </w:pPr>
            <w:r>
              <w:rPr>
                <w:rFonts w:ascii="仿宋_GB2312" w:hAnsi="仿宋_GB2312" w:cs="仿宋_GB2312" w:eastAsia="仿宋_GB2312"/>
                <w:sz w:val="28"/>
              </w:rPr>
              <w:t>7、陕建发[2019]45号文《关于重新调整建设工程计价依据增值税税率的通知》；</w:t>
            </w:r>
          </w:p>
          <w:p>
            <w:pPr>
              <w:pStyle w:val="null3"/>
              <w:ind w:firstLine="560"/>
              <w:jc w:val="both"/>
            </w:pPr>
            <w:r>
              <w:rPr>
                <w:rFonts w:ascii="仿宋_GB2312" w:hAnsi="仿宋_GB2312" w:cs="仿宋_GB2312" w:eastAsia="仿宋_GB2312"/>
                <w:sz w:val="28"/>
              </w:rPr>
              <w:t>8、陕建发[2018]2019号文《关于调整房屋建筑和市政基础设施工程工程量清单计价综合人工单价的通知》；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9、陕建发[2019]1246号文《关于发布我省落实建筑工人实名制</w:t>
            </w:r>
            <w:r>
              <w:rPr>
                <w:rFonts w:ascii="仿宋_GB2312" w:hAnsi="仿宋_GB2312" w:cs="仿宋_GB2312" w:eastAsia="仿宋_GB2312"/>
                <w:sz w:val="28"/>
              </w:rPr>
              <w:t>管理计价依据的通知》；</w:t>
            </w:r>
          </w:p>
          <w:p>
            <w:pPr>
              <w:pStyle w:val="null3"/>
              <w:ind w:firstLine="560"/>
              <w:jc w:val="both"/>
            </w:pPr>
            <w:r>
              <w:rPr>
                <w:rFonts w:ascii="仿宋_GB2312" w:hAnsi="仿宋_GB2312" w:cs="仿宋_GB2312" w:eastAsia="仿宋_GB2312"/>
                <w:sz w:val="28"/>
              </w:rPr>
              <w:t>10、陕建发[2021]1097号《关于调整房屋建筑和市政基础设施工程工程量清单计价综合人工单价的通知》；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11、陕建发﹝2021﹞1021号文《关于全省统一停止收缴建筑业劳保费用的通知》</w:t>
            </w:r>
          </w:p>
          <w:p>
            <w:pPr>
              <w:pStyle w:val="null3"/>
              <w:ind w:firstLine="560"/>
              <w:jc w:val="both"/>
            </w:pPr>
            <w:r>
              <w:rPr>
                <w:rFonts w:ascii="仿宋_GB2312" w:hAnsi="仿宋_GB2312" w:cs="仿宋_GB2312" w:eastAsia="仿宋_GB2312"/>
                <w:sz w:val="28"/>
              </w:rPr>
              <w:t>12、施工现场情况、工程特点、现行国家和陕西省建筑施工规范；</w:t>
            </w:r>
          </w:p>
          <w:p>
            <w:pPr>
              <w:pStyle w:val="null3"/>
              <w:ind w:firstLine="560"/>
              <w:jc w:val="both"/>
            </w:pPr>
            <w:r>
              <w:rPr>
                <w:rFonts w:ascii="仿宋_GB2312" w:hAnsi="仿宋_GB2312" w:cs="仿宋_GB2312" w:eastAsia="仿宋_GB2312"/>
                <w:sz w:val="28"/>
              </w:rPr>
              <w:t>13、材料价格依次执行《陕西省工程造价管理信息—材料信息价》、2025年第2期，信息价中缺项的价格按市场询价执行；</w:t>
            </w:r>
          </w:p>
          <w:p>
            <w:pPr>
              <w:pStyle w:val="null3"/>
              <w:ind w:firstLine="560"/>
              <w:jc w:val="both"/>
            </w:pPr>
            <w:r>
              <w:rPr>
                <w:rFonts w:ascii="仿宋_GB2312" w:hAnsi="仿宋_GB2312" w:cs="仿宋_GB2312" w:eastAsia="仿宋_GB2312"/>
                <w:sz w:val="28"/>
              </w:rPr>
              <w:t>14、采用广联达云计价平台GCCP6.0（6.4100.23.122）版本编制。</w:t>
            </w:r>
          </w:p>
          <w:p>
            <w:pPr>
              <w:pStyle w:val="null3"/>
              <w:ind w:firstLine="560"/>
              <w:jc w:val="both"/>
            </w:pPr>
            <w:r>
              <w:rPr>
                <w:rFonts w:ascii="仿宋_GB2312" w:hAnsi="仿宋_GB2312" w:cs="仿宋_GB2312" w:eastAsia="仿宋_GB2312"/>
                <w:sz w:val="28"/>
              </w:rPr>
              <w:t>15、其他相关资料。</w:t>
            </w:r>
          </w:p>
          <w:p>
            <w:pPr>
              <w:pStyle w:val="null3"/>
              <w:jc w:val="both"/>
            </w:pPr>
            <w:r>
              <w:rPr>
                <w:rFonts w:ascii="仿宋_GB2312" w:hAnsi="仿宋_GB2312" w:cs="仿宋_GB2312" w:eastAsia="仿宋_GB2312"/>
                <w:sz w:val="28"/>
              </w:rPr>
              <w:t xml:space="preserve">  16、其他具体内容详见磋商文件附件。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供应商须具备建设行政主管部门颁发的建筑工程施工总承包三级及以上资质或建筑机电安装工程专业承包三级及以上资质，同时具有有效的安全生产许可证。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专业：建筑工程专业或机电工程专业 补充说明：拟派项目经理具有建筑工程专业或机电工程专业二级（含）以上注册建造师证书及安全生产考核合格证书，且未担任其他在施建设工程。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工期：自进场之日起20个日历日内竣工；工程质量：按国家及省市相关建设工程质量标准的规定，达到“合格”要求；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 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 工管理目标及技术措施②文明施工现场管理：材料管理、防扰民措 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 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 括但不限于水、暖、电、水泥等施工所需的所有基础材料），每提供 1 种环保产品的环境标志产品认证证书得 1 分，满分 2 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