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版本号：CZBXA2501320250525001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阎良区第二实验小学教学楼改造工程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CZBXA25013</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华诚博远工程咨询有限公司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华诚博远工程咨询有限公司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阎良区第二实验小学教学楼改造工程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CZBXA25013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阎良区第二实验小学教学楼改造工程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阎良区第二实验小学教学楼改造工程包含看台增加防护栏杆，看台底部新建器材室，增加阳光板雨棚，窗口砌墙封堵、安装窗户，原建筑局部更换颜色，更换窗户窗纱，教学楼连廊改造，绿化破损及恢复。</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采购包1（阎良区第二实验小学教学楼改造工程）：属于专门面向中小企业采购。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提供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2、企业资质：供应商须具备建设行政主管部门核发的建筑工程施工总承包三级及以上资质，并具有有效的安全生产许可证。</w:t>
      </w:r>
    </w:p>
    <w:p>
      <w:pPr>
        <w:pStyle w:val="null3"/>
      </w:pPr>
      <w:r>
        <w:rPr>
          <w:rFonts w:ascii="仿宋_GB2312" w:hAnsi="仿宋_GB2312" w:cs="仿宋_GB2312" w:eastAsia="仿宋_GB2312"/>
        </w:rPr>
        <w:t>3、供应商营业执照：供应商须具有独立承担民事责任能力的法人、其他组织或自然人，提供营业执照/事业单位法人证书/非企业专业服务机构执业许可证/自然人身份证。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4、拟派项目经理资质和专业要求：拟派项目经理须具备建筑工程专业二级及以上注册建造师执业资格，有效的安全生产考核证书，在本单位注册且无在建项目。</w:t>
      </w:r>
    </w:p>
    <w:p>
      <w:pPr>
        <w:pStyle w:val="null3"/>
      </w:pPr>
      <w:r>
        <w:rPr>
          <w:rFonts w:ascii="仿宋_GB2312" w:hAnsi="仿宋_GB2312" w:cs="仿宋_GB2312" w:eastAsia="仿宋_GB2312"/>
        </w:rPr>
        <w:t>5、中小企业声明函：本项目专门针对中小企业采购，供应商应具有中小企业身份并提供相应的中小企业声明函。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西安市阎良区教育局</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029-86866076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华诚博远工程咨询有限公司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西安市未央区凤城七路明丰国际22层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雷龙博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029-86674688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采购包1：1,085,857.49元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代理服务费收费标准：1.代理服务费及造价咨询费按约定由成交供应商支付，领取成交通知书前，由成交供应商向采购代理机构缴纳代理服务费及造价咨询费，一次性付清。 2.招标代理服务费：按国家发展改革委办公厅发改办价格【2003】857号文件、国家计价格【2002】1980号文件标准下浮20%计取；造价咨询编制费：按陕价行发【2014】88号文件规定下浮20%计取，工程造价咨询服务收费额低于2000元时，按2000元收取 3.代理服务费缴纳账户： 开户名称：华诚博远工程咨询有限公司、 开户银行：中国农业银行股份有限公司北京骡马市支行、账 号：11170101040007437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华诚博远工程咨询有限公司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华诚博远工程咨询有限公司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华诚博远工程咨询有限公司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华诚博远工程咨询有限公司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联系人：办公室</w:t>
      </w:r>
    </w:p>
    <w:p>
      <w:pPr>
        <w:pStyle w:val="null3"/>
      </w:pPr>
      <w:r>
        <w:rPr>
          <w:rFonts w:ascii="仿宋_GB2312" w:hAnsi="仿宋_GB2312" w:cs="仿宋_GB2312" w:eastAsia="仿宋_GB2312"/>
        </w:rPr>
        <w:t>联系电话：029-86674688</w:t>
      </w:r>
    </w:p>
    <w:p>
      <w:pPr>
        <w:pStyle w:val="null3"/>
      </w:pPr>
      <w:r>
        <w:rPr>
          <w:rFonts w:ascii="仿宋_GB2312" w:hAnsi="仿宋_GB2312" w:cs="仿宋_GB2312" w:eastAsia="仿宋_GB2312"/>
        </w:rPr>
        <w:t>地址：西安市未央区凤城七路明丰国际22层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1,085,857.49</w:t>
      </w:r>
    </w:p>
    <w:p>
      <w:pPr>
        <w:pStyle w:val="null3"/>
      </w:pPr>
      <w:r>
        <w:rPr>
          <w:rFonts w:ascii="仿宋_GB2312" w:hAnsi="仿宋_GB2312" w:cs="仿宋_GB2312" w:eastAsia="仿宋_GB2312"/>
        </w:rPr>
        <w:t>采购包最高限价（元）: 1,085,857.49</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阎良区第二实验小学教学楼改造工程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1,085,857.49</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标的名称：阎良区第二实验小学教学楼改造工程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详见图纸及工程量清单</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详见竞争性磋商文件</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详见竞争性磋商文件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供应商应提供基本资格条件承诺函。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供应商须具备建设行政主管部门核发的建筑工程施工总承包三级及以上资质，并具有有效的安全生产许可证。</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拟派项目经理资质和专业要求</w:t>
            </w:r>
          </w:p>
        </w:tc>
        <w:tc>
          <w:tcPr>
            <w:tcW w:type="dxa" w:w="3322"/>
          </w:tcPr>
          <w:p>
            <w:pPr>
              <w:pStyle w:val="null3"/>
            </w:pPr>
            <w:r>
              <w:rPr>
                <w:rFonts w:ascii="仿宋_GB2312" w:hAnsi="仿宋_GB2312" w:cs="仿宋_GB2312" w:eastAsia="仿宋_GB2312"/>
              </w:rPr>
              <w:t>拟派项目经理须具备建筑工程专业二级及以上注册建造师执业资格，有效的安全生产考核证书，在本单位注册且无在建项目。</w:t>
            </w:r>
          </w:p>
        </w:tc>
        <w:tc>
          <w:tcPr>
            <w:tcW w:type="dxa" w:w="1661"/>
          </w:tcPr>
          <w:p>
            <w:pPr>
              <w:pStyle w:val="null3"/>
            </w:pPr>
            <w:r>
              <w:rPr>
                <w:rFonts w:ascii="仿宋_GB2312" w:hAnsi="仿宋_GB2312" w:cs="仿宋_GB2312" w:eastAsia="仿宋_GB2312"/>
              </w:rPr>
              <w:t>基本资格条件承诺函.docx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本项目专门针对中小企业采购，供应商应具有中小企业身份并提供相应的中小企业声明函。</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强制优先采购产品承诺函 响应文件封面 施工组织方案.docx 项目管理机构组成表 残疾人福利性单位声明函 拒绝政府采购领域商业贿赂承诺书.docx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工期：自进场之日起25个日历日内竣工；工程质量：按国家及省市相关建设工程质量标准的规定，达到“合格”要求；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强制优先采购产品承诺函 响应文件封面 施工组织方案.docx 项目管理机构组成表 残疾人福利性单位声明函 拒绝政府采购领域商业贿赂承诺书.docx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评审内容： 根据项目具体情况制定详细实施方案，包括但不限于：①本项目整体实施方案；②工程质量的保障技术组织措施；③进度计划的保障技术组织措施；④安全保障的技术组织措施；⑤文明施工的保障措施；⑥环境保护的保障技术组织措施。 评审标准: 方案各部分内容全面详细、阐述条理清晰详尽、符合本项目采购需求得每一项得 3 分，满分 18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施工组织方案.docx</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服务保障措施</w:t>
            </w:r>
          </w:p>
        </w:tc>
        <w:tc>
          <w:tcPr>
            <w:tcW w:type="dxa" w:w="2492"/>
          </w:tcPr>
          <w:p>
            <w:pPr>
              <w:pStyle w:val="null3"/>
            </w:pPr>
            <w:r>
              <w:rPr>
                <w:rFonts w:ascii="仿宋_GB2312" w:hAnsi="仿宋_GB2312" w:cs="仿宋_GB2312" w:eastAsia="仿宋_GB2312"/>
              </w:rPr>
              <w:t>评审内容： 针对本项目提供详细可行的服务保障措施方案包括但不限于：①服务质量承诺；②场地卫生服务保障；③避免扬尘措施。 评审标准: 方案各部分内容全面详细、阐述条理清晰详尽、符合本项目采购需求得每一项得 3 分，满分 9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管理机构及制度</w:t>
            </w:r>
          </w:p>
        </w:tc>
        <w:tc>
          <w:tcPr>
            <w:tcW w:type="dxa" w:w="2492"/>
          </w:tcPr>
          <w:p>
            <w:pPr>
              <w:pStyle w:val="null3"/>
            </w:pPr>
            <w:r>
              <w:rPr>
                <w:rFonts w:ascii="仿宋_GB2312" w:hAnsi="仿宋_GB2312" w:cs="仿宋_GB2312" w:eastAsia="仿宋_GB2312"/>
              </w:rPr>
              <w:t>评审内容： 针对本项目提供管理机构及制度，包括但不限于：①财务管理及制度；②现场施工管理及制度；③现场安全防范管理及制度；④防噪音扰民管理及制度等进行综合评审。 评审标准: 管理及制度各部分内容全面详细、阐述条理清晰详尽、符合本项目采购需求得每一项得 3 分，满分 12 分；评审内容每缺一项扣 3 分；评审内容有缺陷(缺陷是指:内容粗略、逻辑混乱、描述过于简单、与项目特点不匹配、凭空编造、逻辑漏洞、出现常识性错误、存在不适用项目实际情况的情形或只有标题没有实质性内容等)的扣 0.1-2.5未提供不得分。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拟派人员配置情况</w:t>
            </w:r>
          </w:p>
        </w:tc>
        <w:tc>
          <w:tcPr>
            <w:tcW w:type="dxa" w:w="2492"/>
          </w:tcPr>
          <w:p>
            <w:pPr>
              <w:pStyle w:val="null3"/>
            </w:pPr>
            <w:r>
              <w:rPr>
                <w:rFonts w:ascii="仿宋_GB2312" w:hAnsi="仿宋_GB2312" w:cs="仿宋_GB2312" w:eastAsia="仿宋_GB2312"/>
              </w:rPr>
              <w:t>评审内容： ①根据拟投入的其他服务人员数量；②根据拟投入的其他人员年龄、专业经验、资格/职称等情况。 评审标准： 内容全面详细、阐述条理清晰详尽、符合本项目采购需求得每一项得 3 分，满分 6 分；评审内容每缺一项扣 3 分；评审内容有缺陷(缺陷是指:内容粗略、逻辑混乱、描述过于简单、与项目特点不匹配、凭空编造、逻辑漏洞、出现常识性错误、存在不适用项目实际情况的情形或只有标题没有实质性内容等)的扣 0.1-2.5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主要施工机械、设备配备计划及劳动力</w:t>
            </w:r>
          </w:p>
        </w:tc>
        <w:tc>
          <w:tcPr>
            <w:tcW w:type="dxa" w:w="2492"/>
          </w:tcPr>
          <w:p>
            <w:pPr>
              <w:pStyle w:val="null3"/>
            </w:pPr>
            <w:r>
              <w:rPr>
                <w:rFonts w:ascii="仿宋_GB2312" w:hAnsi="仿宋_GB2312" w:cs="仿宋_GB2312" w:eastAsia="仿宋_GB2312"/>
              </w:rPr>
              <w:t>针对本项目提供的主要施工机械、设备及劳动力配备先进、合理可行得 4 分； 拟投入本项目的主要施工机械、设备及劳动力配备与项目实际情况基本匹配，较合理得 3 分； 拟投入本项目的主要施工机械、设备及劳动力配备与项目实际情况不匹配得 1 分， 未提供不计分。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针对本项目应急预案</w:t>
            </w:r>
          </w:p>
        </w:tc>
        <w:tc>
          <w:tcPr>
            <w:tcW w:type="dxa" w:w="2492"/>
          </w:tcPr>
          <w:p>
            <w:pPr>
              <w:pStyle w:val="null3"/>
            </w:pPr>
            <w:r>
              <w:rPr>
                <w:rFonts w:ascii="仿宋_GB2312" w:hAnsi="仿宋_GB2312" w:cs="仿宋_GB2312" w:eastAsia="仿宋_GB2312"/>
              </w:rPr>
              <w:t>设置科学合理的应急预案制定周到、全面、具体的得 5 分； 应急预案制定不够全面、具体得 3 分； 应急预案制定不合理，可执行性差得 1 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重点难点分析及解决措施</w:t>
            </w:r>
          </w:p>
        </w:tc>
        <w:tc>
          <w:tcPr>
            <w:tcW w:type="dxa" w:w="2492"/>
          </w:tcPr>
          <w:p>
            <w:pPr>
              <w:pStyle w:val="null3"/>
            </w:pPr>
            <w:r>
              <w:rPr>
                <w:rFonts w:ascii="仿宋_GB2312" w:hAnsi="仿宋_GB2312" w:cs="仿宋_GB2312" w:eastAsia="仿宋_GB2312"/>
              </w:rPr>
              <w:t>供应商提供针对本项目工作重点、难点分析及解决方案， 对重点、难点分析准确，解决方案针对性强的计 5 分； 对重点、难点分析基本准确，解决方案有针对性的计 3 分； 对重点、难点分析与项目实际情况存在偏离，解决方案不 够实际的计 1 分； 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针对本项目实际需求，提供实质性的合理化建议。 建议内容科学可行，有针对性且内容丰富计 5 分； 建议内容基本可行，具有针对性计 3 分； 建议内容简单，不完整，部分具有针对性计 1 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施工组织方案.docx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业绩：提供2022年5月1日至今类似项目业绩，提供业绩中标通知书或合同，每提供一份计2分，最高得6分。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1、经初审合格的响应文件，其最终磋商报价为有效磋商报价。 2、综合评分法中的价格分统一采用低价优先法计算，即满足采购文件要求且最后报价最低的供应商报价为投标基准价，其价格分为满分。其他供应商的价格分统一按照下列公式计算： 磋商报价得分=（投标基准价/磋商报价）×价格权值（30%）×100，超出最高限价的报价为无效报价。 3、磋商报价不完整的，不进入评标标准价的计算，本项得0分。 4、磋商小组1/2以上成员认为某报价有低于成本价嫌疑的，为无效报价按废标处理。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详见附件：施工组织方案.docx</w:t>
      </w:r>
    </w:p>
    <w:p>
      <w:pPr>
        <w:pStyle w:val="null3"/>
        <w:ind w:firstLine="960"/>
      </w:pPr>
      <w:r>
        <w:rPr>
          <w:rFonts w:ascii="仿宋_GB2312" w:hAnsi="仿宋_GB2312" w:cs="仿宋_GB2312" w:eastAsia="仿宋_GB2312"/>
        </w:rPr>
        <w:t>详见附件：拒绝政府采购领域商业贿赂承诺书.docx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