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版本号：CZBXA2501620250525001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阎良区六三0中学教学楼维修工程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CZBXA25016</w:t>
      </w:r>
      <w:r>
        <w:br/>
      </w:r>
      <w:r>
        <w:br/>
      </w:r>
      <w:r>
        <w:br/>
      </w:r>
    </w:p>
    <w:p>
      <w:pPr>
        <w:pStyle w:val="null3"/>
        <w:jc w:val="center"/>
        <w:outlineLvl w:val="2"/>
      </w:pPr>
      <w:r>
        <w:rPr>
          <w:rFonts w:ascii="仿宋_GB2312" w:hAnsi="仿宋_GB2312" w:cs="仿宋_GB2312" w:eastAsia="仿宋_GB2312"/>
          <w:sz w:val="28"/>
          <w:b/>
        </w:rPr>
        <w:t>西安市阎良区六三〇中学</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西安市阎良区六三〇中学</w:t>
      </w:r>
      <w:r>
        <w:rPr>
          <w:rFonts w:ascii="仿宋_GB2312" w:hAnsi="仿宋_GB2312" w:cs="仿宋_GB2312" w:eastAsia="仿宋_GB2312"/>
        </w:rPr>
        <w:t>委托，拟对</w:t>
      </w:r>
      <w:r>
        <w:rPr>
          <w:rFonts w:ascii="仿宋_GB2312" w:hAnsi="仿宋_GB2312" w:cs="仿宋_GB2312" w:eastAsia="仿宋_GB2312"/>
        </w:rPr>
        <w:t>阎良区六三0中学教学楼维修工程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CZBXA25016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阎良区六三0中学教学楼维修工程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阎良区六三0中学教学楼维修工程包含室建筑及采暖等工程。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采购包1（阎良区六三0中学教学楼维修工程）：属于专门面向中小企业采购。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供应商应提供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3、企业资质：供应商须具备建设行政主管部门核发的建筑工程施工总承包三级及以上资质，并具有有效的安全生产许可证。</w:t>
      </w:r>
    </w:p>
    <w:p>
      <w:pPr>
        <w:pStyle w:val="null3"/>
      </w:pPr>
      <w:r>
        <w:rPr>
          <w:rFonts w:ascii="仿宋_GB2312" w:hAnsi="仿宋_GB2312" w:cs="仿宋_GB2312" w:eastAsia="仿宋_GB2312"/>
        </w:rPr>
        <w:t>4、拟派项目项目资质和专业要求：拟派项目经理须具备建筑工程专业二级及以上注册建造师执业资格，有效的安全生产考核证书，在本单位注册且无在建项目。</w:t>
      </w:r>
    </w:p>
    <w:p>
      <w:pPr>
        <w:pStyle w:val="null3"/>
      </w:pPr>
      <w:r>
        <w:rPr>
          <w:rFonts w:ascii="仿宋_GB2312" w:hAnsi="仿宋_GB2312" w:cs="仿宋_GB2312" w:eastAsia="仿宋_GB2312"/>
        </w:rPr>
        <w:t>5、中小企业声明函：本项目专门针对中小企业采购，供应商应具有中小企业身份并提供相应的中小企业声明函。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西安市阎良区六三〇中学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阎良区六三〇中学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西安市阎良区六三0中学经办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13891979028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西安市未央区凤城七路明丰国际22层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雷龙博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029-86674688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采购包1：888,782.54元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代理服务费收费标准：1.代理服务费及造价咨询费按约定由成交供应商支付，领取成交通知书前，由成交供应商向采购代理机构缴纳代理服务费及造价咨询费，一次性付清。 2.招标代理服务费：按国家发展改革委办公厅发改办价格【2003】857号文件、国家计价格【2002】1980号文件标准下浮20%计取；造价咨询编制费：按陕价行发【2014】88号文件规定下浮20%计取，工程造价咨询服务收费额低于2000元时，按2000元收取 3.代理服务费缴纳账户： 开户名称：华诚博远工程咨询有限公司、 开户银行：中国农业银行股份有限公司北京骡马市支行、账 号：11170101040007437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西安市阎良区六三〇中学</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西安市阎良区六三〇中学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西安市阎良区六三〇中学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联系人：办公室</w:t>
      </w:r>
    </w:p>
    <w:p>
      <w:pPr>
        <w:pStyle w:val="null3"/>
      </w:pPr>
      <w:r>
        <w:rPr>
          <w:rFonts w:ascii="仿宋_GB2312" w:hAnsi="仿宋_GB2312" w:cs="仿宋_GB2312" w:eastAsia="仿宋_GB2312"/>
        </w:rPr>
        <w:t>联系电话：029-86674688</w:t>
      </w:r>
    </w:p>
    <w:p>
      <w:pPr>
        <w:pStyle w:val="null3"/>
      </w:pPr>
      <w:r>
        <w:rPr>
          <w:rFonts w:ascii="仿宋_GB2312" w:hAnsi="仿宋_GB2312" w:cs="仿宋_GB2312" w:eastAsia="仿宋_GB2312"/>
        </w:rPr>
        <w:t>地址：西安市未央区凤城七路明丰国际22层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888,782.54</w:t>
      </w:r>
    </w:p>
    <w:p>
      <w:pPr>
        <w:pStyle w:val="null3"/>
      </w:pPr>
      <w:r>
        <w:rPr>
          <w:rFonts w:ascii="仿宋_GB2312" w:hAnsi="仿宋_GB2312" w:cs="仿宋_GB2312" w:eastAsia="仿宋_GB2312"/>
        </w:rPr>
        <w:t>采购包最高限价（元）: 888,782.54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阎良区六三0中学教学楼维修工程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888,782.54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标的名称：阎良区六三0中学教学楼维修工程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基本资格条件承诺函.docx 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拟派项目项目资质和专业要求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拟派项目经理须具备建筑工程专业二级及以上注册建造师执业资格，有效的安全生产考核证书，在本单位注册且无在建项目。</w:t>
            </w:r>
          </w:p>
        </w:tc>
        <w:tc>
          <w:tcPr>
            <w:tcW w:type="dxa" w:w="1661"/>
          </w:tcPr>
          <w:p>
            <w:pPr>
              <w:pStyle w:val="null3"/>
            </w:pPr>
            <w:r>
              <w:rPr>
                <w:rFonts w:ascii="仿宋_GB2312" w:hAnsi="仿宋_GB2312" w:cs="仿宋_GB2312" w:eastAsia="仿宋_GB2312"/>
              </w:rPr>
              <w:t>基本资格条件承诺函.docx 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本项目专门针对中小企业采购，供应商应具有中小企业身份并提供相应的中小企业声明函。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根据项目具体情况制定详细实施方案，包括但不限于：①本项目整体实施方案；②工程质量的保障技术组织措施；③进度计划的保障技术组织措施；④安全保障的技术组织措施；⑤文明施工的保障措施；⑥环境保护的保障技术组织措施。 评审标准: 方案各部分内容全面详细、阐述条理清晰详尽、符合本项目采购需求得每一项得 3 分，满分 18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 针对本项目提供详细可行的服务保障措施方案包括但不限于：①服务质量承诺；②场地卫生服务保障；③避免扬尘措施。 评审标准: 方案各部分内容全面详细、阐述条理清晰详尽、符合本项目采购需求得每一项得 3 分，满分 9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评审内容： 针对本项目提供管理机构及制度，包括但不限于：①财务管理及制度；②现场施工管理及制度；③现场安全防范管理及制度；④防噪音扰民管理及制度等进行综合评审。 评审标准: 管理及制度各部分内容全面详细、阐述条理清晰详尽、符合本项目采购需求得每一项得 3 分，满分 12 分；评审内容每缺一项扣 3 分；评审内容有缺陷(缺陷是指:内容粗略、逻辑混乱、描述过于简单、与项目特点不匹配、凭空编造、逻辑漏洞、出现常识性错误、存在不适用项目实际情况的情形或只有标题没有实质性内容等)的扣 0.1-2.5未提供不得分。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拟派人员配置情况</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 内容全面详细、阐述条理清晰详尽、符合本项目采购需求得每一项得 3 分，满分 6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主要施工机械、设备配备计划及劳动力</w:t>
            </w:r>
          </w:p>
        </w:tc>
        <w:tc>
          <w:tcPr>
            <w:tcW w:type="dxa" w:w="2492"/>
          </w:tcPr>
          <w:p>
            <w:pPr>
              <w:pStyle w:val="null3"/>
            </w:pPr>
            <w:r>
              <w:rPr>
                <w:rFonts w:ascii="仿宋_GB2312" w:hAnsi="仿宋_GB2312" w:cs="仿宋_GB2312" w:eastAsia="仿宋_GB2312"/>
              </w:rPr>
              <w:t>针对本项目提供的主要施工机械、设备及劳动力配备先进、合理可行得 4 分； 拟投入本项目的主要施工机械、设备及劳动力配备与项目实际情况基本匹配，较合理得 3 分； 拟投入本项目的主要施工机械、设备及劳动力配备与项目实际情况不匹配得 1 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针对本项目应急预案</w:t>
            </w:r>
          </w:p>
        </w:tc>
        <w:tc>
          <w:tcPr>
            <w:tcW w:type="dxa" w:w="2492"/>
          </w:tcPr>
          <w:p>
            <w:pPr>
              <w:pStyle w:val="null3"/>
            </w:pPr>
            <w:r>
              <w:rPr>
                <w:rFonts w:ascii="仿宋_GB2312" w:hAnsi="仿宋_GB2312" w:cs="仿宋_GB2312" w:eastAsia="仿宋_GB2312"/>
              </w:rPr>
              <w:t>设置科学合理的应急预案制定周到、全面、具体的得 5 分； 应急预案制定不够全面、具体得 3 分； 应急预案制定不合理，可执行性差得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对重点、难点分析准确，解决方案针对性强的计 5 分； 对重点、难点分析基本准确，解决方案有针对性的计 3 分； 对重点、难点分析与项目实际情况存在偏离，解决方案不 够实际的计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建议内容科学可行，有针对性且内容丰富计 5 分； 建议内容基本可行，具有针对性计 3 分； 建议内容简单，不完整，部分具有针对性计 1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业绩：提供2022年5月1日至今类似项目业绩，提供业绩中标通知书或合同，每提供一份计2分，最高得6分。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磋商报价得分=（投标基准价/磋商报价）×价格权值（30%）×100，超出最高限价的报价为无效报价。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