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版本号：ZDYT-ZB-2025（26）20250525001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阎良区北屯街道办事处中心小学运动场改造工程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ZDYT-ZB-2025（26）</w:t>
      </w:r>
      <w:r>
        <w:br/>
      </w:r>
      <w:r>
        <w:br/>
      </w:r>
      <w:r>
        <w:br/>
      </w:r>
    </w:p>
    <w:p>
      <w:pPr>
        <w:pStyle w:val="null3"/>
        <w:jc w:val="center"/>
        <w:outlineLvl w:val="2"/>
      </w:pPr>
      <w:r>
        <w:rPr>
          <w:rFonts w:ascii="仿宋_GB2312" w:hAnsi="仿宋_GB2312" w:cs="仿宋_GB2312" w:eastAsia="仿宋_GB2312"/>
          <w:sz w:val="28"/>
          <w:b/>
        </w:rPr>
        <w:t>西安市阎良区教育局</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西安市阎良区教育局</w:t>
      </w:r>
      <w:r>
        <w:rPr>
          <w:rFonts w:ascii="仿宋_GB2312" w:hAnsi="仿宋_GB2312" w:cs="仿宋_GB2312" w:eastAsia="仿宋_GB2312"/>
        </w:rPr>
        <w:t>委托，拟对</w:t>
      </w:r>
      <w:r>
        <w:rPr>
          <w:rFonts w:ascii="仿宋_GB2312" w:hAnsi="仿宋_GB2312" w:cs="仿宋_GB2312" w:eastAsia="仿宋_GB2312"/>
        </w:rPr>
        <w:t>阎良区北屯街道办事处中心小学运动场改造工程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ZDYT-ZB-2025（26）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阎良区北屯街道办事处中心小学运动场改造工程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阎良区北屯街道办事处中心小学运动场改造工程主要包括田径场范围内所有场地面层拆除，面层新做红色地弹坪卷材及专业免充砂专用草坪,局部基层沉降拆除及修复,操场内侧围墙抹灰铲除新做真石漆、围墙护栏拆除新做，增加移动式成品篮球架、可移动一体式室外工具间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采购包1（阎良区北屯街道办事处中心小学运动场改造工程）：属于专门面向中小企业采购。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1、供应商营业执照：供应商须具有独立承担民事责任能力的法人、其他组织或自然人，提供营业执照/事业单位法人证书/非企业专业服务机构执业许可证/自然人身份证。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rFonts w:ascii="仿宋_GB2312" w:hAnsi="仿宋_GB2312" w:cs="仿宋_GB2312" w:eastAsia="仿宋_GB2312"/>
        </w:rPr>
        <w:t>3、基本资格条件承诺函：根据《陕西省财政厅关于进一步优化政府采购营商环境有关事项的通知》(陕财办采[2023]14号)文件精神，对供应商基本资格条件实行“承诺+信用管理”，供应商应提供基本资格条件承诺函。</w:t>
      </w:r>
    </w:p>
    <w:p>
      <w:pPr>
        <w:pStyle w:val="null3"/>
      </w:pPr>
      <w:r>
        <w:rPr>
          <w:rFonts w:ascii="仿宋_GB2312" w:hAnsi="仿宋_GB2312" w:cs="仿宋_GB2312" w:eastAsia="仿宋_GB2312"/>
        </w:rPr>
        <w:t>4、企业资质：供应商须具备建设行政主管部门颁发的建筑工程施工总承包三级及以上资质，同时具有有效的安全生产许可证。</w:t>
      </w:r>
    </w:p>
    <w:p>
      <w:pPr>
        <w:pStyle w:val="null3"/>
      </w:pPr>
      <w:r>
        <w:rPr>
          <w:rFonts w:ascii="仿宋_GB2312" w:hAnsi="仿宋_GB2312" w:cs="仿宋_GB2312" w:eastAsia="仿宋_GB2312"/>
        </w:rPr>
        <w:t>5、拟派项目负责人资质和专业要求。：证书等级：二级及以上注册建造师资格 专业：建筑工程专业 补充说明：拟派本工程项目经理须具备建筑工程专业二级及以上注册建造师资格，同时具有合格有效的安全生产考核合格证（B证）,本单位注册且无在建工程。</w:t>
      </w:r>
    </w:p>
    <w:p>
      <w:pPr>
        <w:pStyle w:val="null3"/>
      </w:pPr>
      <w:r>
        <w:rPr>
          <w:rFonts w:ascii="仿宋_GB2312" w:hAnsi="仿宋_GB2312" w:cs="仿宋_GB2312" w:eastAsia="仿宋_GB2312"/>
        </w:rPr>
        <w:t>6、其他要求：本项目不接受联合体磋商，单位负责人为同一人或者存在控股、管理关系的不同单位不得同时参加磋商，提供承诺或相关说明并加盖公章。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西安市阎良区凤凰北街5号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029-86866076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陕西省西安市国际港务区招商局丝路中心北地块B座5楼0523-0525室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18829517279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采购包1：860,135.02元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国家计划委员会文件《招标代理服务收费管理暂行办法》（计价格[2002]1980号）规定的标准计取；造价咨询服务费按陕西省物价局陕西省住房和城乡建设厅文件《关于我省工程造价咨询服务收费标准有关问题的通知》（陕价行发〔2014〕88号）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西安市阎良区教育局</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联系人：张艳</w:t>
      </w:r>
    </w:p>
    <w:p>
      <w:pPr>
        <w:pStyle w:val="null3"/>
      </w:pPr>
      <w:r>
        <w:rPr>
          <w:rFonts w:ascii="仿宋_GB2312" w:hAnsi="仿宋_GB2312" w:cs="仿宋_GB2312" w:eastAsia="仿宋_GB2312"/>
        </w:rPr>
        <w:t>联系电话：18829517279</w:t>
      </w:r>
    </w:p>
    <w:p>
      <w:pPr>
        <w:pStyle w:val="null3"/>
      </w:pPr>
      <w:r>
        <w:rPr>
          <w:rFonts w:ascii="仿宋_GB2312" w:hAnsi="仿宋_GB2312" w:cs="仿宋_GB2312" w:eastAsia="仿宋_GB2312"/>
        </w:rPr>
        <w:t>地址：西安市国际港务区港兴三路与欧亚大道交汇处招商局丝路中心B座5楼522室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860,135.02</w:t>
      </w:r>
    </w:p>
    <w:p>
      <w:pPr>
        <w:pStyle w:val="null3"/>
      </w:pPr>
      <w:r>
        <w:rPr>
          <w:rFonts w:ascii="仿宋_GB2312" w:hAnsi="仿宋_GB2312" w:cs="仿宋_GB2312" w:eastAsia="仿宋_GB2312"/>
        </w:rPr>
        <w:t>采购包最高限价（元）: 860,135.02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阎良区北屯街道办事处中心小学运动场改造工程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860,135.02</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标的名称：阎良区北屯街道办事处中心小学运动场改造工程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8"/>
                <w:b/>
              </w:rPr>
              <w:t>一、项目概况</w:t>
            </w:r>
          </w:p>
          <w:p>
            <w:pPr>
              <w:pStyle w:val="null3"/>
              <w:jc w:val="both"/>
            </w:pPr>
            <w:r>
              <w:rPr>
                <w:rFonts w:ascii="仿宋_GB2312" w:hAnsi="仿宋_GB2312" w:cs="仿宋_GB2312" w:eastAsia="仿宋_GB2312"/>
                <w:sz w:val="24"/>
              </w:rPr>
              <w:t>阎良区北屯街道办事处中心小学运动场改造工程主要包括田径场范围内所有场地面层拆除，面层新做红色地弹坪卷材及专业免充砂专用草坪</w:t>
            </w:r>
            <w:r>
              <w:rPr>
                <w:rFonts w:ascii="仿宋_GB2312" w:hAnsi="仿宋_GB2312" w:cs="仿宋_GB2312" w:eastAsia="仿宋_GB2312"/>
                <w:sz w:val="24"/>
              </w:rPr>
              <w:t>,局部基层沉降拆除及修复,操场内侧围墙抹灰铲除新做真石漆、围墙护栏拆除新做，增加移动式成品篮球架、可移动一体式室外工具间等。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8"/>
                <w:b/>
              </w:rPr>
              <w:t>二、工程内容和施工地点、计划工期、缺陷责任期、质量保修期</w:t>
            </w:r>
          </w:p>
          <w:p>
            <w:pPr>
              <w:pStyle w:val="null3"/>
              <w:ind w:firstLine="480"/>
            </w:pPr>
            <w:r>
              <w:rPr>
                <w:rFonts w:ascii="仿宋_GB2312" w:hAnsi="仿宋_GB2312" w:cs="仿宋_GB2312" w:eastAsia="仿宋_GB2312"/>
                <w:sz w:val="24"/>
              </w:rPr>
              <w:t>（一）工程内容：</w:t>
            </w:r>
            <w:r>
              <w:rPr>
                <w:rFonts w:ascii="仿宋_GB2312" w:hAnsi="仿宋_GB2312" w:cs="仿宋_GB2312" w:eastAsia="仿宋_GB2312"/>
                <w:sz w:val="24"/>
              </w:rPr>
              <w:t>工程量清单及图纸的全部内容；</w:t>
            </w:r>
          </w:p>
          <w:p>
            <w:pPr>
              <w:pStyle w:val="null3"/>
              <w:ind w:firstLine="480"/>
            </w:pPr>
            <w:r>
              <w:rPr>
                <w:rFonts w:ascii="仿宋_GB2312" w:hAnsi="仿宋_GB2312" w:cs="仿宋_GB2312" w:eastAsia="仿宋_GB2312"/>
                <w:sz w:val="24"/>
              </w:rPr>
              <w:t>（二）工程地点：</w:t>
            </w:r>
            <w:r>
              <w:rPr>
                <w:rFonts w:ascii="仿宋_GB2312" w:hAnsi="仿宋_GB2312" w:cs="仿宋_GB2312" w:eastAsia="仿宋_GB2312"/>
                <w:sz w:val="24"/>
              </w:rPr>
              <w:t>阎良区北屯街道办事处中心小学内</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（三）计划工期：自进场之日起</w:t>
            </w:r>
            <w:r>
              <w:rPr>
                <w:rFonts w:ascii="仿宋_GB2312" w:hAnsi="仿宋_GB2312" w:cs="仿宋_GB2312" w:eastAsia="仿宋_GB2312"/>
                <w:sz w:val="24"/>
              </w:rPr>
              <w:t>25</w:t>
            </w:r>
            <w:r>
              <w:rPr>
                <w:rFonts w:ascii="仿宋_GB2312" w:hAnsi="仿宋_GB2312" w:cs="仿宋_GB2312" w:eastAsia="仿宋_GB2312"/>
                <w:sz w:val="24"/>
              </w:rPr>
              <w:t>个日历日内竣工。</w:t>
            </w:r>
          </w:p>
          <w:p>
            <w:pPr>
              <w:pStyle w:val="null3"/>
              <w:ind w:firstLine="480"/>
            </w:pPr>
            <w:r>
              <w:rPr>
                <w:rFonts w:ascii="仿宋_GB2312" w:hAnsi="仿宋_GB2312" w:cs="仿宋_GB2312" w:eastAsia="仿宋_GB2312"/>
                <w:sz w:val="24"/>
              </w:rPr>
              <w:t>（四）缺陷责任期：</w:t>
            </w:r>
            <w:r>
              <w:rPr>
                <w:rFonts w:ascii="仿宋_GB2312" w:hAnsi="仿宋_GB2312" w:cs="仿宋_GB2312" w:eastAsia="仿宋_GB2312"/>
                <w:sz w:val="24"/>
              </w:rPr>
              <w:t>质保期间履行好质保责任</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（五）质量保修期：见《建设工程质量管理条例》。</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420"/>
              <w:jc w:val="both"/>
            </w:pPr>
            <w:r>
              <w:rPr>
                <w:rFonts w:ascii="仿宋_GB2312" w:hAnsi="仿宋_GB2312" w:cs="仿宋_GB2312" w:eastAsia="仿宋_GB2312"/>
                <w:sz w:val="28"/>
                <w:b/>
              </w:rPr>
              <w:t>三、工程量清单和计价依据</w:t>
            </w:r>
          </w:p>
          <w:p>
            <w:pPr>
              <w:pStyle w:val="null3"/>
              <w:ind w:firstLine="482"/>
              <w:jc w:val="both"/>
            </w:pPr>
            <w:r>
              <w:rPr>
                <w:rFonts w:ascii="仿宋_GB2312" w:hAnsi="仿宋_GB2312" w:cs="仿宋_GB2312" w:eastAsia="仿宋_GB2312"/>
                <w:sz w:val="24"/>
                <w:b/>
              </w:rPr>
              <w:t>（一）计价依据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1、本工程依据阎良区北屯街道办事处中心小学运动场改造工程施工图纸进行计算、编制；</w:t>
            </w:r>
          </w:p>
          <w:p>
            <w:pPr>
              <w:pStyle w:val="null3"/>
              <w:ind w:firstLine="480"/>
              <w:jc w:val="both"/>
            </w:pPr>
            <w:r>
              <w:rPr>
                <w:rFonts w:ascii="仿宋_GB2312" w:hAnsi="仿宋_GB2312" w:cs="仿宋_GB2312" w:eastAsia="仿宋_GB2312"/>
                <w:sz w:val="24"/>
              </w:rPr>
              <w:t>2、《建设工程工程量清单计价规范》（GB50500-2008）、《陕西省建设工程工程量清单计价规则》（2009）；</w:t>
            </w:r>
          </w:p>
          <w:p>
            <w:pPr>
              <w:pStyle w:val="null3"/>
              <w:ind w:firstLine="480"/>
              <w:jc w:val="both"/>
            </w:pPr>
            <w:r>
              <w:rPr>
                <w:rFonts w:ascii="仿宋_GB2312" w:hAnsi="仿宋_GB2312" w:cs="仿宋_GB2312" w:eastAsia="仿宋_GB2312"/>
                <w:sz w:val="24"/>
              </w:rPr>
              <w:t>3、《陕西省建筑、装饰工程消耗量定额》2004、《陕西省市政、景观绿化工程消耗量定额》2004、《陕西省安装工程消耗量定额》2004及《陕西省建设工程消耗量定额勘误及补充定额》2009；</w:t>
            </w:r>
          </w:p>
          <w:p>
            <w:pPr>
              <w:pStyle w:val="null3"/>
              <w:ind w:firstLine="480"/>
              <w:jc w:val="both"/>
            </w:pPr>
            <w:r>
              <w:rPr>
                <w:rFonts w:ascii="仿宋_GB2312" w:hAnsi="仿宋_GB2312" w:cs="仿宋_GB2312" w:eastAsia="仿宋_GB2312"/>
                <w:sz w:val="24"/>
              </w:rPr>
              <w:t>4、《陕西省建筑、装饰工程价目表》2009、《陕西省安装工程价目表》2009、《陕西省建设工程施工机械台班价目表》2009、《全统修缮定额土建工程陕西省价目表》2001；</w:t>
            </w:r>
          </w:p>
          <w:p>
            <w:pPr>
              <w:pStyle w:val="null3"/>
              <w:ind w:firstLine="480"/>
              <w:jc w:val="both"/>
            </w:pPr>
            <w:r>
              <w:rPr>
                <w:rFonts w:ascii="仿宋_GB2312" w:hAnsi="仿宋_GB2312" w:cs="仿宋_GB2312" w:eastAsia="仿宋_GB2312"/>
                <w:sz w:val="24"/>
              </w:rPr>
              <w:t>5、陕建发[2017]270号文《关于增加建设工程扬尘治理专项措施费及综合人工单价调整的通知》；</w:t>
            </w:r>
          </w:p>
          <w:p>
            <w:pPr>
              <w:pStyle w:val="null3"/>
              <w:ind w:firstLine="480"/>
              <w:jc w:val="both"/>
            </w:pPr>
            <w:r>
              <w:rPr>
                <w:rFonts w:ascii="仿宋_GB2312" w:hAnsi="仿宋_GB2312" w:cs="仿宋_GB2312" w:eastAsia="仿宋_GB2312"/>
                <w:sz w:val="24"/>
              </w:rPr>
              <w:t>6、陕建发[2019]45号文《关于调整陕西省建设工程计价依据的通知》；</w:t>
            </w:r>
          </w:p>
          <w:p>
            <w:pPr>
              <w:pStyle w:val="null3"/>
              <w:ind w:firstLine="480"/>
              <w:jc w:val="both"/>
            </w:pPr>
            <w:r>
              <w:rPr>
                <w:rFonts w:ascii="仿宋_GB2312" w:hAnsi="仿宋_GB2312" w:cs="仿宋_GB2312" w:eastAsia="仿宋_GB2312"/>
                <w:sz w:val="24"/>
              </w:rPr>
              <w:t>7、陕建发[2019]1246号文《关于发布我省落实建筑工人实名制管理计价依据的通知》；</w:t>
            </w:r>
          </w:p>
          <w:p>
            <w:pPr>
              <w:pStyle w:val="null3"/>
              <w:ind w:firstLine="480"/>
              <w:jc w:val="both"/>
            </w:pPr>
            <w:r>
              <w:rPr>
                <w:rFonts w:ascii="仿宋_GB2312" w:hAnsi="仿宋_GB2312" w:cs="仿宋_GB2312" w:eastAsia="仿宋_GB2312"/>
                <w:sz w:val="24"/>
              </w:rPr>
              <w:t>8、陕建发[2020]1097号文《关于建筑施工安全生产责任保险费用计价的通知》；</w:t>
            </w:r>
          </w:p>
          <w:p>
            <w:pPr>
              <w:pStyle w:val="null3"/>
              <w:ind w:firstLine="480"/>
              <w:jc w:val="both"/>
            </w:pPr>
            <w:r>
              <w:rPr>
                <w:rFonts w:ascii="仿宋_GB2312" w:hAnsi="仿宋_GB2312" w:cs="仿宋_GB2312" w:eastAsia="仿宋_GB2312"/>
                <w:sz w:val="24"/>
              </w:rPr>
              <w:t>9、陕建发[2021]1021号文《陕西省住房和城乡建设厅关于全省统一停止收缴建筑业劳保费用的通知》；</w:t>
            </w:r>
          </w:p>
          <w:p>
            <w:pPr>
              <w:pStyle w:val="null3"/>
              <w:ind w:firstLine="480"/>
              <w:jc w:val="both"/>
            </w:pPr>
            <w:r>
              <w:rPr>
                <w:rFonts w:ascii="仿宋_GB2312" w:hAnsi="仿宋_GB2312" w:cs="仿宋_GB2312" w:eastAsia="仿宋_GB2312"/>
                <w:sz w:val="24"/>
              </w:rPr>
              <w:t>10、陕建发[2021]1097号文《关于调整房屋建筑和市政基础设施工程工程量清单计价综合人工单价的通知》；</w:t>
            </w:r>
          </w:p>
          <w:p>
            <w:pPr>
              <w:pStyle w:val="null3"/>
              <w:ind w:firstLine="480"/>
              <w:jc w:val="both"/>
            </w:pPr>
            <w:r>
              <w:rPr>
                <w:rFonts w:ascii="仿宋_GB2312" w:hAnsi="仿宋_GB2312" w:cs="仿宋_GB2312" w:eastAsia="仿宋_GB2312"/>
                <w:sz w:val="24"/>
              </w:rPr>
              <w:t>11、材料价格依次执行《陕西省工程造价管理信息—材料信息价》（阎良）2025 年第 1 期，信息价中缺项的价格按市场询价执行；</w:t>
            </w:r>
          </w:p>
          <w:p>
            <w:pPr>
              <w:pStyle w:val="null3"/>
              <w:ind w:firstLine="480"/>
              <w:jc w:val="both"/>
            </w:pPr>
            <w:r>
              <w:rPr>
                <w:rFonts w:ascii="仿宋_GB2312" w:hAnsi="仿宋_GB2312" w:cs="仿宋_GB2312" w:eastAsia="仿宋_GB2312"/>
                <w:sz w:val="24"/>
              </w:rPr>
              <w:t>12、采用广联达云计价平台6.4100.23.122。</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图纸答疑</w:t>
            </w:r>
          </w:p>
          <w:p>
            <w:pPr>
              <w:pStyle w:val="null3"/>
              <w:ind w:firstLine="480"/>
              <w:jc w:val="both"/>
            </w:pPr>
            <w:r>
              <w:rPr>
                <w:rFonts w:ascii="仿宋_GB2312" w:hAnsi="仿宋_GB2312" w:cs="仿宋_GB2312" w:eastAsia="仿宋_GB2312"/>
                <w:sz w:val="24"/>
              </w:rPr>
              <w:t>1、PP高密度聚丙烯树池树篦子厚度图纸未明确，请明确；</w:t>
            </w:r>
          </w:p>
          <w:p>
            <w:pPr>
              <w:pStyle w:val="null3"/>
              <w:ind w:firstLine="480"/>
              <w:jc w:val="both"/>
            </w:pPr>
            <w:r>
              <w:rPr>
                <w:rFonts w:ascii="仿宋_GB2312" w:hAnsi="仿宋_GB2312" w:cs="仿宋_GB2312" w:eastAsia="仿宋_GB2312"/>
                <w:sz w:val="24"/>
              </w:rPr>
              <w:t>答：厚度为</w:t>
            </w:r>
            <w:r>
              <w:rPr>
                <w:rFonts w:ascii="仿宋_GB2312" w:hAnsi="仿宋_GB2312" w:cs="仿宋_GB2312" w:eastAsia="仿宋_GB2312"/>
                <w:sz w:val="24"/>
              </w:rPr>
              <w:t>25MM。</w:t>
            </w:r>
          </w:p>
          <w:p>
            <w:pPr>
              <w:pStyle w:val="null3"/>
              <w:ind w:firstLine="480"/>
              <w:jc w:val="both"/>
            </w:pPr>
            <w:r>
              <w:rPr>
                <w:rFonts w:ascii="仿宋_GB2312" w:hAnsi="仿宋_GB2312" w:cs="仿宋_GB2312" w:eastAsia="仿宋_GB2312"/>
                <w:sz w:val="24"/>
              </w:rPr>
              <w:t>2、围墙上部新做钢制护栏，请明确护栏竖向及横向钢柱规格、钢丝网规格、墙面预埋件规格等；</w:t>
            </w:r>
          </w:p>
          <w:p>
            <w:pPr>
              <w:pStyle w:val="null3"/>
              <w:ind w:firstLine="480"/>
              <w:jc w:val="both"/>
            </w:pPr>
            <w:r>
              <w:rPr>
                <w:rFonts w:ascii="仿宋_GB2312" w:hAnsi="仿宋_GB2312" w:cs="仿宋_GB2312" w:eastAsia="仿宋_GB2312"/>
                <w:sz w:val="24"/>
              </w:rPr>
              <w:t>答：做法参见国标</w:t>
            </w:r>
            <w:r>
              <w:rPr>
                <w:rFonts w:ascii="仿宋_GB2312" w:hAnsi="仿宋_GB2312" w:cs="仿宋_GB2312" w:eastAsia="仿宋_GB2312"/>
                <w:sz w:val="24"/>
              </w:rPr>
              <w:t>15J001第100页钢丝网围栏。</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其它说明</w:t>
            </w:r>
          </w:p>
          <w:p>
            <w:pPr>
              <w:pStyle w:val="null3"/>
              <w:ind w:firstLine="480"/>
              <w:jc w:val="both"/>
            </w:pPr>
            <w:r>
              <w:rPr>
                <w:rFonts w:ascii="仿宋_GB2312" w:hAnsi="仿宋_GB2312" w:cs="仿宋_GB2312" w:eastAsia="仿宋_GB2312"/>
                <w:sz w:val="24"/>
              </w:rPr>
              <w:t>1、暂列金额按2万元在其他项目费中计入；</w:t>
            </w:r>
          </w:p>
          <w:p>
            <w:pPr>
              <w:pStyle w:val="null3"/>
              <w:ind w:firstLine="480"/>
              <w:jc w:val="both"/>
            </w:pPr>
            <w:r>
              <w:rPr>
                <w:rFonts w:ascii="仿宋_GB2312" w:hAnsi="仿宋_GB2312" w:cs="仿宋_GB2312" w:eastAsia="仿宋_GB2312"/>
                <w:sz w:val="24"/>
              </w:rPr>
              <w:t>2、运动场围墙宣传栏文化字按专业工程暂估价0.5万元在其他项目费中计入；</w:t>
            </w:r>
          </w:p>
          <w:p>
            <w:pPr>
              <w:pStyle w:val="null3"/>
              <w:ind w:firstLine="480"/>
              <w:jc w:val="both"/>
            </w:pPr>
            <w:r>
              <w:rPr>
                <w:rFonts w:ascii="仿宋_GB2312" w:hAnsi="仿宋_GB2312" w:cs="仿宋_GB2312" w:eastAsia="仿宋_GB2312"/>
                <w:sz w:val="24"/>
              </w:rPr>
              <w:t>3、可移动一体式室外工具间（成品厂家定制）按专业工程暂估价3万元在其他项目费中计入；</w:t>
            </w:r>
          </w:p>
          <w:p>
            <w:pPr>
              <w:pStyle w:val="null3"/>
              <w:ind w:firstLine="480"/>
              <w:jc w:val="both"/>
            </w:pPr>
            <w:r>
              <w:rPr>
                <w:rFonts w:ascii="仿宋_GB2312" w:hAnsi="仿宋_GB2312" w:cs="仿宋_GB2312" w:eastAsia="仿宋_GB2312"/>
                <w:sz w:val="24"/>
              </w:rPr>
              <w:t>4、招标代理服务费及工程造价咨询服务费按照相关国家费用标准在其他项目费中计入。</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）工程量清单：详见附件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left="420"/>
              <w:jc w:val="both"/>
            </w:pPr>
            <w:r>
              <w:rPr>
                <w:rFonts w:ascii="仿宋_GB2312" w:hAnsi="仿宋_GB2312" w:cs="仿宋_GB2312" w:eastAsia="仿宋_GB2312"/>
                <w:sz w:val="28"/>
                <w:b/>
              </w:rPr>
              <w:t>四、施工要求</w:t>
            </w:r>
          </w:p>
          <w:p>
            <w:pPr>
              <w:pStyle w:val="null3"/>
              <w:jc w:val="both"/>
            </w:pPr>
            <w:r>
              <w:rPr>
                <w:rFonts w:ascii="仿宋_GB2312" w:hAnsi="仿宋_GB2312" w:cs="仿宋_GB2312" w:eastAsia="仿宋_GB2312"/>
                <w:sz w:val="24"/>
              </w:rPr>
              <w:t>在施工期间，中标供应商必须注意施工人员安全，加强安全措施，并对施工人员进行安全教育。施工人员必须持证上岗。因采购人工作的特殊性，要求中标供应商在施工中做到封闭性施工。</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left="420"/>
              <w:jc w:val="both"/>
            </w:pPr>
            <w:r>
              <w:rPr>
                <w:rFonts w:ascii="仿宋_GB2312" w:hAnsi="仿宋_GB2312" w:cs="仿宋_GB2312" w:eastAsia="仿宋_GB2312"/>
                <w:sz w:val="28"/>
                <w:b/>
              </w:rPr>
              <w:t>五、商务要求</w:t>
            </w:r>
          </w:p>
          <w:p>
            <w:pPr>
              <w:pStyle w:val="null3"/>
              <w:jc w:val="both"/>
            </w:pPr>
            <w:r>
              <w:rPr>
                <w:rFonts w:ascii="仿宋_GB2312" w:hAnsi="仿宋_GB2312" w:cs="仿宋_GB2312" w:eastAsia="仿宋_GB2312"/>
                <w:sz w:val="24"/>
                <w:color w:val="000000"/>
              </w:rPr>
              <w:t>合同签订后，项目完成并验收合格后甲方向乙方支付合同款的</w:t>
            </w:r>
            <w:r>
              <w:rPr>
                <w:rFonts w:ascii="仿宋_GB2312" w:hAnsi="仿宋_GB2312" w:cs="仿宋_GB2312" w:eastAsia="仿宋_GB2312"/>
                <w:sz w:val="24"/>
                <w:color w:val="000000"/>
              </w:rPr>
              <w:t>70%，待结算审计完成后甲方向乙方支付至项目结算价款的100%，乙方要在项目质保期间严格履行好质保责任。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施工要求、相关规范进行施工。要求所有工程符合行业规格标准，达到环保节能性、耐用性、安全可靠性、使用性能，安全可靠，功能齐全，性能良好，质量保证完善，符合国内相关标准和有关规定，验收以国内行业标准或合同文本描述的有关技术要求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供应商营业执照</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法人授权委托书格式.docx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供应商须具备建设行政主管部门颁发的建筑工程施工总承包三级及以上资质，同时具有有效的安全生产许可证。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证书等级：二级及以上注册建造师资格 专业：建筑工程专业 补充说明：拟派本工程项目经理须具备建筑工程专业二级及以上注册建造师资格，同时具有合格有效的安全生产考核合格证（B证）,本单位注册且无在建工程。</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本项目不接受联合体磋商，单位负责人为同一人或者存在控股、管理关系的不同单位不得同时参加磋商，提供承诺或相关说明并加盖公章。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形式评审标准</w:t>
            </w:r>
          </w:p>
        </w:tc>
        <w:tc>
          <w:tcPr>
            <w:tcW w:type="dxa" w:w="3322"/>
          </w:tcPr>
          <w:p>
            <w:pPr>
              <w:pStyle w:val="null3"/>
            </w:pPr>
            <w:r>
              <w:rPr>
                <w:rFonts w:ascii="仿宋_GB2312" w:hAnsi="仿宋_GB2312" w:cs="仿宋_GB2312" w:eastAsia="仿宋_GB2312"/>
              </w:rPr>
              <w:t>供应商名称：与营业执照一致；响应函签字盖章：有法定代表人或其委托代理人签字或加盖单位章；响应文件格式：符合第七章“响应文件格式”的要求。</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施工组织设计.docx 强制优先采购产品承诺函 响应文件封面 法人授权委托书格式.docx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响应性评审标准</w:t>
            </w:r>
          </w:p>
        </w:tc>
        <w:tc>
          <w:tcPr>
            <w:tcW w:type="dxa" w:w="3322"/>
          </w:tcPr>
          <w:p>
            <w:pPr>
              <w:pStyle w:val="null3"/>
            </w:pPr>
            <w:r>
              <w:rPr>
                <w:rFonts w:ascii="仿宋_GB2312" w:hAnsi="仿宋_GB2312" w:cs="仿宋_GB2312" w:eastAsia="仿宋_GB2312"/>
              </w:rPr>
              <w:t>工期：自进场之日起25个日历日内竣工；工程质量：按国家及省市相关建设工程质量标准的规定，达到“合格”要求； 投标有效期：自提交响应文件的截止之日起90个日历日；已标价工程量清单：符合“工程量清单”给出的子目名称、计量单位、工程量、子目备注说明；投标价格：不得高于最高限价。</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施工组织设计.docx 强制优先采购产品承诺函 响应文件封面 法人授权委托书格式.docx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 内容包含：①施工目标: 成本目标、工期目标、质量目标②施工准备：技术准备、材料准备、机械准备、机具准备③施工平面布置与安排：现场围挡及出入口管理、交通组织安排、消防及道路安排。 二、评审标准 1、完整性：方案必须全面，对评审内容中的各项要求有详细描述； 2、可实施性：切合本项目实际情况，提出步骤清晰、合理的方案； 3、针对性：方案能够紧扣项目实际情况， 内容科学合理。 三、赋分标准（满分 9 分） ①施工目标：每完全满足一个评审标准得 1分，满分3分； ②施工准备：每完全满足一个评审标准得 1 分，满分3分； ③施工平面布置与安排：每完全满足一个评审标准得 1 分，满分3分。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 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 内容科学合理。 三、赋分标准（满分 9 分） ①施工进度计划横道图：每完全满足一个评审标准得1分，满分3分； ②进度计划保证措施：每完全满足一个评审标准得1分，满分3分； ③工期保证措施：每完全满足一个评审标准得1分，满分3分。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 内容包含： ①工程重难点及解决措施②分部分项工程施工方法③施工质量通 病防治措施。 二、评审标准 1、完整性：方案必须全面，对评审内容中的各项要求有详细描述； 2、可实施性：切合本项目实际情况，提出步骤清晰、合理的方案； 3、针对性：方案能够紧扣项目实际情况， 内容科学合理。 三、赋分标准（满分9分） ①工程重难点及解决措施：每完全满足一个评审标准得1分，满分3分； ②分部分项工程施工方法：每完全满足一个评审标准得1分，满分3分； ③施工质量通病防治措施：每完全满足一个评审标准得1分，满分3分。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 标管理体系②施工质量的检验制度③确保质量的技术组织措施④ 施工质量控制措施。 二、评审标准 1、完整性：方案必须全面，对评审内容中的各项要求有详细描述； 2、可实施性：切合本项目实际情况，提出步骤清晰、合理的方案； 3、针对性：方案能够紧扣项目实际情况， 内容科学合理。 三、赋分标准（满分 6 分） ①质量目标管理体系：每完全满足一个评审标准得 0.5 分，满分 1.5 分； ②施工质量的检验制度：每完全满足一个评审标准得 0.5 分，满分1.5 分； ③确保质量的技术组织措施：每完全满足一个评审标准得 0.5 分， 满分 1.5 分； ④施工质量控制措施：每完全满足一个评审标准得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 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 内容科学合理。 三、赋分标准（满分 6 分） ①安全生产管理制度：每完全满足一个评审标准得 0.5 分，满分 1.5 分； ②安全施工措施：每完全满足一个评审标准得 0.5 分，满分 1.5 分； ③安全应急预案：每完全满足一个评审标准得 0.5 分，满分 1.5 分； ④安全生产教育：每完全满足一个评审标准得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 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 内容科学合理。 三、赋分标准（满分 6 分） ①成品保护措施：每完全满足一个评审标准得 0.5 分，满分 1.5 分； ②季节性施工措施：每完全满足一个评审标准得 0.5 分，满分 1.5 分； ③消防保卫措施：每完全满足一个评审标准得 0.5 分，满分 1.5 分； ④环境保护措施：每完全满足一个评审标准得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 工管理目标及技术措施②文明施工现场管理：材料管理、防扰民措 施。 二、评审标准 1、完整性：方案必须全面，对评审内容中的各项要求有详细描述； 2、可实施性：切合本项目实际情况，提出步骤清晰、合理的方案； 3、针对性：方案能够紧扣项目实际情况， 内容科学合理。 三、赋分标准（满分 3 分） ①文明施工管理目标及技术措施：每完全满足一个评审标准得 0.5 分，满分 1.5 分； ②文明施工现场管理：每完全满足一个评审标准得 0.5 分，满分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 内容科学合理。 三、赋分标准（满分 3 分） ①管理机构的配备计划：每完全满足一个评审标准得 0.5 分，满分 1.5 分； ②组织机构的岗位职责：每完全满足一个评审标准得 0.5 分，满分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 内容科学合理。 三、赋分标准（满分 3 分） ①新材料的应用情况：每完全满足一个评审标准得 0.5 分，满分 1.5 分； ②新技术和新工艺的应用情况：每完全满足一个评审标准得 0.5 分， 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验收维护方案</w:t>
            </w:r>
          </w:p>
        </w:tc>
        <w:tc>
          <w:tcPr>
            <w:tcW w:type="dxa" w:w="2492"/>
          </w:tcPr>
          <w:p>
            <w:pPr>
              <w:pStyle w:val="null3"/>
            </w:pPr>
            <w:r>
              <w:rPr>
                <w:rFonts w:ascii="仿宋_GB2312" w:hAnsi="仿宋_GB2312" w:cs="仿宋_GB2312" w:eastAsia="仿宋_GB2312"/>
              </w:rPr>
              <w:t>一、评审内容 结合本项目的实际，供应商应依据国家相关规定提出工程验收维护方案， 内容包含：①验收方案②维修措施③保修责任及保修承诺。 二、评审标准 1、完整性：内容必须全面，对评审内容中的各项要求有详细描述； 2、落实性：切合项目具体情况，提出责任明确、要求具体的方案； 3、针对性： 内容能够紧扣项目实际情况， 内容科学合理。 三、赋分标准（满分 4.5 分） ①验收方案：每完全满足一个评审标准得 0.5 分，满分 1.5 分； ②维修措施：每完全满足一个评审标准得 0.5 分，满分 1.5 分； ③保修责任及保修承诺：每完全满足一个评审标准得 0.5 分，满分 1.5 分。 未提供不得分。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供应商提供所用材料属于环境标志产品政府采购清单中的产品（包 括但不限于水、暖、电、水泥等施工所需的所有基础材料），每提供 1 种环保产品的环境标志产品认证证书得 1 分，满分 2 分。 注：以加盖供应商公章的复印件为计分依据。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针对实际需求，在保证完成本项目的基础上，对降低工程造价、缩短施工周期等提供实质性承诺，每提供一条得 0.5 分，满分 1.5 分。未提供不得分。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 2022年1月1日至今的类似项目业绩合同（以合同签订日期为准），每提供一份得2分，最高得8分。投标响应文件中附有说明其业绩证明材料（业绩以合同为依据）。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价格分采用最低评标价法，即实质性满足磋商文件要求且最终投标报价最低的为评标基准价，其价格分为满分30分。其他供应商的价格分按照下列公式计算：投标报价得分 =(评标基准价/最终投标报价)×30。计算结果最多保留两位小数。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详见附件：法人授权委托书格式.docx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