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版本号：TJ-ZBGC-25-00920250606002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阎良区关山中学教学楼改造工程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TJ-ZBGC-25-009</w:t>
      </w:r>
      <w:r>
        <w:br/>
      </w:r>
      <w:r>
        <w:br/>
      </w:r>
      <w:r>
        <w:br/>
      </w:r>
    </w:p>
    <w:p>
      <w:pPr>
        <w:pStyle w:val="null3"/>
        <w:jc w:val="center"/>
        <w:outlineLvl w:val="2"/>
      </w:pPr>
      <w:r>
        <w:rPr>
          <w:rFonts w:ascii="仿宋_GB2312" w:hAnsi="仿宋_GB2312" w:cs="仿宋_GB2312" w:eastAsia="仿宋_GB2312"/>
          <w:sz w:val="28"/>
          <w:b/>
        </w:rPr>
        <w:t>西安市阎良区教育局</w:t>
      </w:r>
    </w:p>
    <w:p>
      <w:pPr>
        <w:pStyle w:val="null3"/>
        <w:jc w:val="center"/>
        <w:outlineLvl w:val="2"/>
      </w:pPr>
      <w:r>
        <w:rPr>
          <w:rFonts w:ascii="仿宋_GB2312" w:hAnsi="仿宋_GB2312" w:cs="仿宋_GB2312" w:eastAsia="仿宋_GB2312"/>
          <w:sz w:val="28"/>
          <w:b/>
        </w:rPr>
        <w:t>陕西中晟同济项目管理有限公司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陕西中晟同济项目管理有限公司</w:t>
      </w:r>
      <w:r>
        <w:rPr>
          <w:rFonts w:ascii="仿宋_GB2312" w:hAnsi="仿宋_GB2312" w:cs="仿宋_GB2312" w:eastAsia="仿宋_GB2312"/>
        </w:rPr>
        <w:t>（以下简称“代理机构”）受</w:t>
      </w:r>
      <w:r>
        <w:rPr>
          <w:rFonts w:ascii="仿宋_GB2312" w:hAnsi="仿宋_GB2312" w:cs="仿宋_GB2312" w:eastAsia="仿宋_GB2312"/>
        </w:rPr>
        <w:t>西安市阎良区教育局</w:t>
      </w:r>
      <w:r>
        <w:rPr>
          <w:rFonts w:ascii="仿宋_GB2312" w:hAnsi="仿宋_GB2312" w:cs="仿宋_GB2312" w:eastAsia="仿宋_GB2312"/>
        </w:rPr>
        <w:t>委托，拟对</w:t>
      </w:r>
      <w:r>
        <w:rPr>
          <w:rFonts w:ascii="仿宋_GB2312" w:hAnsi="仿宋_GB2312" w:cs="仿宋_GB2312" w:eastAsia="仿宋_GB2312"/>
        </w:rPr>
        <w:t>阎良区关山中学教学楼改造工程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TJ-ZBGC-25-009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阎良区关山中学教学楼改造工程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本工程为阎良区关山中学教学楼改造工程。主要内容包括1#、2#楼走廊铝合金窗封堵改造、人造石材窗台板等工作内容，具体详见图纸及工程量清单。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采购包1（阎良区关山中学教学楼改造工程）：属于专门面向中小企业采购。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1、企业资质：具备建设行政部门颁发的建筑工程施工总承包三级以上（含三级）资质或者建筑装修装饰工程专业承包二级以上（含二级）资质，且具备有效的安全生产许可证</w:t>
      </w:r>
    </w:p>
    <w:p>
      <w:pPr>
        <w:pStyle w:val="null3"/>
      </w:pPr>
      <w:r>
        <w:rPr>
          <w:rFonts w:ascii="仿宋_GB2312" w:hAnsi="仿宋_GB2312" w:cs="仿宋_GB2312" w:eastAsia="仿宋_GB2312"/>
        </w:rPr>
        <w:t>2、项目负责人：拟派项目经理须具备建筑工程专业二级以上（含二级）注册建造师资格，具有合格有效的安全生产考核合格证（B证）,本单位注册且无在建工程（提供承诺书）；</w:t>
      </w:r>
    </w:p>
    <w:p>
      <w:pPr>
        <w:pStyle w:val="null3"/>
      </w:pPr>
      <w:r>
        <w:rPr>
          <w:rFonts w:ascii="仿宋_GB2312" w:hAnsi="仿宋_GB2312" w:cs="仿宋_GB2312" w:eastAsia="仿宋_GB2312"/>
        </w:rPr>
        <w:t>3、信用查询：不得为“信用中国” 网站(http://www.creditchi n a.gov.cn)列入“失信被执行人（页面跳转至“ 中国执行信息公开网”http://zxgk.court.gov.c n/ shixin/）、重大税收违法失信主体、政府采 购严重违法失信行为记录名单” 的供应商；不得 为中国政府采购网(http://www.ccgp.gov.cn)“ 政府采购严重违法失信行为记录名单” 中的供应 商 ; (根据财库【2019】38号文规定，此项由 采购人在磋商响应截止日当天在“信用中国” 网 站和中国政府采购网站进行查询，截图留档； 如网站无供应商信息的，供应商须提供相关证 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西安市阎良区凤凰北街5号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西安市阎良区教育局经办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86866076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陕西中晟同济项目管理有限公司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陕西省西安市莲湖区未央路世纪金园B座401室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俱雨婷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17391200039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郝智军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采购包1：782,192.01元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 代理服务费收费标准：1.成交人在领取成交通知书时，向陕西中晟同济项目管理有限公司缴纳 招标代理服务费及造价咨询费。造价咨询服务费以最高限价为基数，依据陕西省物价局陕西省住房和城乡建设厅《关于我省工程造价咨询服务收费标准有关问题的通知》陕价行发[2014]88 号规定的收费标准计取造价咨询服务费。招标代理服务费以中标金额为基数，依据《招标代理 服务收费管理暂行办法》计价格[2002]1980号规定的收费标准计取。应采用转账、刷卡、现金 形式缴纳。 汇款账户： 1.开户行名称：陕西中晟同济项目管理有限公司 2.开户 行：中国建设银行唐延路支行 3.帐 号：6105 0192 3900 0000 1824备注：供应商在汇款时须注明项目编号+项目简称</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西安市阎良区教育局</w:t>
      </w:r>
      <w:r>
        <w:rPr>
          <w:rFonts w:ascii="仿宋_GB2312" w:hAnsi="仿宋_GB2312" w:cs="仿宋_GB2312" w:eastAsia="仿宋_GB2312"/>
        </w:rPr>
        <w:t>和</w:t>
      </w:r>
      <w:r>
        <w:rPr>
          <w:rFonts w:ascii="仿宋_GB2312" w:hAnsi="仿宋_GB2312" w:cs="仿宋_GB2312" w:eastAsia="仿宋_GB2312"/>
        </w:rPr>
        <w:t>陕西中晟同济项目管理有限公司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陕西中晟同济项目管理有限公司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陕西中晟同济项目管理有限公司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陕西中晟同济项目管理有限公司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陕西中晟同济项目管理有限公司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陕西中晟同济项目管理有限公司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联系人：俱雨婷</w:t>
      </w:r>
    </w:p>
    <w:p>
      <w:pPr>
        <w:pStyle w:val="null3"/>
      </w:pPr>
      <w:r>
        <w:rPr>
          <w:rFonts w:ascii="仿宋_GB2312" w:hAnsi="仿宋_GB2312" w:cs="仿宋_GB2312" w:eastAsia="仿宋_GB2312"/>
        </w:rPr>
        <w:t>联系电话：17391200039</w:t>
      </w:r>
    </w:p>
    <w:p>
      <w:pPr>
        <w:pStyle w:val="null3"/>
      </w:pPr>
      <w:r>
        <w:rPr>
          <w:rFonts w:ascii="仿宋_GB2312" w:hAnsi="仿宋_GB2312" w:cs="仿宋_GB2312" w:eastAsia="仿宋_GB2312"/>
        </w:rPr>
        <w:t>地址：陕西省西安市莲湖区未央路世纪金园B座401室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782,192.01</w:t>
      </w:r>
    </w:p>
    <w:p>
      <w:pPr>
        <w:pStyle w:val="null3"/>
      </w:pPr>
      <w:r>
        <w:rPr>
          <w:rFonts w:ascii="仿宋_GB2312" w:hAnsi="仿宋_GB2312" w:cs="仿宋_GB2312" w:eastAsia="仿宋_GB2312"/>
        </w:rPr>
        <w:t>采购包最高限价（元）: 782,192.01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阎良区关山中学教学楼改造工程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782,192.01</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标的名称：阎良区关山中学教学楼改造工程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工程质量等级达到合格或以上标准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工程量清单详见附件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 .3其他要求 一、工期及地点： 1.工 期：25天。 2.施工地点：西安市阎良区关山镇文化东路 二、运输、施工：成交人负责材料的运输、施工及其他伴随服务。 三、成交人在领取成交通知书时提供一正两副纸质竞争性磋商响应文件及电子竞争性磋商响应文件一份（U 盘或移动硬盘；电子响应文件为Word版本和PDF版本，PDF文件为签字、盖章的完整正本扫描件）。装订：纸质竞争性磋商 响应文件采用书籍（胶装）方式装订成册，与电子竞争性磋商响应文件一致的签字、盖章的完整版本。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（1）具有独立承担民事责任能力的法人、其他组织或自然人，提供合法有效的统一社会信用代码营业执照（事业单位法人证书/专业服务机构执业许可证/民办非企业单位登记证书，自然人提供身份证）； （2）财务状况报告：提供2023年度经审计的财务报告，包括四表一注，即资产负债表、利润表、现金流量表、所有者权益变动表及其附注；/或在磋商时间前6个月内其基本开户银行出具的资信证明；/或财政部门认可的政府采购专业担保机构出具的投标担保函（以上三种形式的资料提供任何一种即可）； （3）税收缴纳证明：依法缴纳税收的良好记录（提供截止至磋商时间前6个月任意1个月的缴费凭据或提供税务部门出具的纳税证明）。依法免税的供应商提供相应文件证明其依法免税； （4）依法缴纳社会保障资金的良好记录（提供截止至磋商时间前6个月内任意1个月的缴费凭据或提供社保部门出具的社保证明）。依法不需要缴纳社会保障资金的供应商提供相应证明文件； （5）提供具有履行本合同所必需的设备和专业技术能力的承诺（提供书面说明及承诺，加盖供应商公章）； （6）提供参加政府采购活动前三年内在经营活动中没有重大违法记录的书面声明（提供书面声明，加盖供应商公章）。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具备建设行政部门颁发的建筑工程施工总承包三级以上（含三级）资质或者建筑装修装饰工程专业承包二级以上（含二级）资质，且具备有效的安全生产许可证</w:t>
            </w:r>
          </w:p>
        </w:tc>
        <w:tc>
          <w:tcPr>
            <w:tcW w:type="dxa" w:w="1661"/>
          </w:tcPr>
          <w:p>
            <w:pPr>
              <w:pStyle w:val="null3"/>
            </w:pPr>
            <w:r>
              <w:rPr>
                <w:rFonts w:ascii="仿宋_GB2312" w:hAnsi="仿宋_GB2312" w:cs="仿宋_GB2312" w:eastAsia="仿宋_GB2312"/>
              </w:rPr>
              <w:t>项目管理机构组成表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拟派项目经理须具备建筑工程专业二级以上（含二级）注册建造师资格，具有合格有效的安全生产考核合格证（B证）,本单位注册且无在建工程（提供承诺书）；</w:t>
            </w:r>
          </w:p>
        </w:tc>
        <w:tc>
          <w:tcPr>
            <w:tcW w:type="dxa" w:w="1661"/>
          </w:tcPr>
          <w:p>
            <w:pPr>
              <w:pStyle w:val="null3"/>
            </w:pPr>
            <w:r>
              <w:rPr>
                <w:rFonts w:ascii="仿宋_GB2312" w:hAnsi="仿宋_GB2312" w:cs="仿宋_GB2312" w:eastAsia="仿宋_GB2312"/>
              </w:rPr>
              <w:t>供应商应提交的相关资格证明材料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 网站(http://www.creditchi n a.gov.cn)列入“失信被执行人（页面跳转至“ 中国执行信息公开网”http://zxgk.court.gov.c n/ shixin/）、重大税收违法失信主体、政府采 购严重违法失信行为记录名单” 的供应商；不得 为中国政府采购网(http://www.ccgp.gov.cn)“ 政府采购严重违法失信行为记录名单” 中的供应 商 ; (根据财库【2019】38号文规定，此项由 采购人在磋商响应截止日当天在“信用中国” 网 站和中国政府采购网站进行查询，截图留档； 如网站无供应商信息的，供应商须提供相关证 明资料或书面声明）；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磋商响应文件对工期、质保期、付 款方式、验收等商务要求进行详细 说明，完全响应磋商文件的计1分 , 工期每提前一个日历日加1分, 最多 加2分。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以合同形式提供供应商2022年1月 至今类似项目业绩，提供一份业绩 计2分，计满6分为止。（以合同签 署时间为准）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技术响应1</w:t>
            </w:r>
          </w:p>
        </w:tc>
        <w:tc>
          <w:tcPr>
            <w:tcW w:type="dxa" w:w="2492"/>
          </w:tcPr>
          <w:p>
            <w:pPr>
              <w:pStyle w:val="null3"/>
            </w:pPr>
            <w:r>
              <w:rPr>
                <w:rFonts w:ascii="仿宋_GB2312" w:hAnsi="仿宋_GB2312" w:cs="仿宋_GB2312" w:eastAsia="仿宋_GB2312"/>
              </w:rPr>
              <w:t>确保工程质量的技术组织措施，内 容科学全面，具体措施详细具体计 6-3分，内容不全面计3- 1分，未 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技术响应2</w:t>
            </w:r>
          </w:p>
        </w:tc>
        <w:tc>
          <w:tcPr>
            <w:tcW w:type="dxa" w:w="2492"/>
          </w:tcPr>
          <w:p>
            <w:pPr>
              <w:pStyle w:val="null3"/>
            </w:pPr>
            <w:r>
              <w:rPr>
                <w:rFonts w:ascii="仿宋_GB2312" w:hAnsi="仿宋_GB2312" w:cs="仿宋_GB2312" w:eastAsia="仿宋_GB2312"/>
              </w:rPr>
              <w:t>确保文明施工的技术组织措施及环 境保护措施，内容具体全面的计6- 3分，措施缺项、不全面计3- 1分 ,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技术响应3</w:t>
            </w:r>
          </w:p>
        </w:tc>
        <w:tc>
          <w:tcPr>
            <w:tcW w:type="dxa" w:w="2492"/>
          </w:tcPr>
          <w:p>
            <w:pPr>
              <w:pStyle w:val="null3"/>
            </w:pPr>
            <w:r>
              <w:rPr>
                <w:rFonts w:ascii="仿宋_GB2312" w:hAnsi="仿宋_GB2312" w:cs="仿宋_GB2312" w:eastAsia="仿宋_GB2312"/>
              </w:rPr>
              <w:t>确保安全生产的技术组织措施，措 施详细具体全面的计6-3分，措施 内容不全面计3- 1分，未提供不计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技术响应4</w:t>
            </w:r>
          </w:p>
        </w:tc>
        <w:tc>
          <w:tcPr>
            <w:tcW w:type="dxa" w:w="2492"/>
          </w:tcPr>
          <w:p>
            <w:pPr>
              <w:pStyle w:val="null3"/>
            </w:pPr>
            <w:r>
              <w:rPr>
                <w:rFonts w:ascii="仿宋_GB2312" w:hAnsi="仿宋_GB2312" w:cs="仿宋_GB2312" w:eastAsia="仿宋_GB2312"/>
              </w:rPr>
              <w:t>确保工期的技术组织措施，措施详 细具体全面的计6-3分，措施内容 不全面计3- 1分，未提供不计分。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技术响应5</w:t>
            </w:r>
          </w:p>
        </w:tc>
        <w:tc>
          <w:tcPr>
            <w:tcW w:type="dxa" w:w="2492"/>
          </w:tcPr>
          <w:p>
            <w:pPr>
              <w:pStyle w:val="null3"/>
            </w:pPr>
            <w:r>
              <w:rPr>
                <w:rFonts w:ascii="仿宋_GB2312" w:hAnsi="仿宋_GB2312" w:cs="仿宋_GB2312" w:eastAsia="仿宋_GB2312"/>
              </w:rPr>
              <w:t>施工方案，方案详细全面、科学合 理计7-3分，方案内容不全面计3- 1分，未提供不计分。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技术响应6</w:t>
            </w:r>
          </w:p>
        </w:tc>
        <w:tc>
          <w:tcPr>
            <w:tcW w:type="dxa" w:w="2492"/>
          </w:tcPr>
          <w:p>
            <w:pPr>
              <w:pStyle w:val="null3"/>
            </w:pPr>
            <w:r>
              <w:rPr>
                <w:rFonts w:ascii="仿宋_GB2312" w:hAnsi="仿宋_GB2312" w:cs="仿宋_GB2312" w:eastAsia="仿宋_GB2312"/>
              </w:rPr>
              <w:t>施工机械及材料投入计划，机械及 材料配备齐全、计划全面合理且实 施性强计6-3分，计划内容不全面 计3- 1分，未提供不计分。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技术响应7</w:t>
            </w:r>
          </w:p>
        </w:tc>
        <w:tc>
          <w:tcPr>
            <w:tcW w:type="dxa" w:w="2492"/>
          </w:tcPr>
          <w:p>
            <w:pPr>
              <w:pStyle w:val="null3"/>
            </w:pPr>
            <w:r>
              <w:rPr>
                <w:rFonts w:ascii="仿宋_GB2312" w:hAnsi="仿宋_GB2312" w:cs="仿宋_GB2312" w:eastAsia="仿宋_GB2312"/>
              </w:rPr>
              <w:t>施工进度网络图或施工进度表，网 络图或进度表内容详尽、安排合理 且实施性强计6-3分，内容安排不 合理计3- 1分，未提供不计分。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技术响应8</w:t>
            </w:r>
          </w:p>
        </w:tc>
        <w:tc>
          <w:tcPr>
            <w:tcW w:type="dxa" w:w="2492"/>
          </w:tcPr>
          <w:p>
            <w:pPr>
              <w:pStyle w:val="null3"/>
            </w:pPr>
            <w:r>
              <w:rPr>
                <w:rFonts w:ascii="仿宋_GB2312" w:hAnsi="仿宋_GB2312" w:cs="仿宋_GB2312" w:eastAsia="仿宋_GB2312"/>
              </w:rPr>
              <w:t>劳动力安排计划及劳务分包情况， 计划安排科学合理合计6-3分，计 划安排不合理计3- 1分，未提供不 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技术响应9</w:t>
            </w:r>
          </w:p>
        </w:tc>
        <w:tc>
          <w:tcPr>
            <w:tcW w:type="dxa" w:w="2492"/>
          </w:tcPr>
          <w:p>
            <w:pPr>
              <w:pStyle w:val="null3"/>
            </w:pPr>
            <w:r>
              <w:rPr>
                <w:rFonts w:ascii="仿宋_GB2312" w:hAnsi="仿宋_GB2312" w:cs="仿宋_GB2312" w:eastAsia="仿宋_GB2312"/>
              </w:rPr>
              <w:t>项目经理部组织机构，人员配备全 面合理计6-3分，人员配备不全面 合理计3- 1分，未提供不计分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完全承诺磋商文件和合同条款，并 针对本项目实际需求提供实质性服 务承诺，确有利于本次招标，服务 内容全面合理，实施性强计6-3分, 内容不全面、实施性不强计3- 1分 ,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 采购方式管理暂行办法》（财库[2 014]214号）的有关规定：价格分 采用低价优先法计算，即满足竞争 性磋商文件要求且最后报价最低的 供应商的价格为磋商基准价，其价 格分为满分。其他供应商的价格分 统一按照下列公式计算：磋商报价 得分=（磋商基准价/最终磋商报价 ) ×价格权值（即30%） ×100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