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版本号：TJ-ZBGC-25-009.1B120250613001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阎良区关山中学教学楼改造工程(二次)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TJ-ZBGC-25-009.1B1</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陕西中晟同济项目管理有限公司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陕西中晟同济项目管理有限公司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阎良区关山中学教学楼改造工程(二次)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TJ-ZBGC-25-009.1B1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阎良区关山中学教学楼改造工程(二次)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本工程为阎良区关山中学教学楼改造工程。主要内容包括1#、2#楼走廊铝合金窗封堵改造、人造石材窗台板等工作内容，具体详见图纸及工程量清单。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采购包1（阎良区关山中学教学楼改造工程）：属于专门面向中小企业采购。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1、企业资质：具备建设行政部门颁发的建筑工程施工总承包三级以上（含三级）资质或者建筑装修装饰工程专业承包二级以上（含二级）资质，且具备有效的安全生产许可证</w:t>
      </w:r>
    </w:p>
    <w:p>
      <w:pPr>
        <w:pStyle w:val="null3"/>
      </w:pPr>
      <w:r>
        <w:rPr>
          <w:rFonts w:ascii="仿宋_GB2312" w:hAnsi="仿宋_GB2312" w:cs="仿宋_GB2312" w:eastAsia="仿宋_GB2312"/>
        </w:rPr>
        <w:t>2、项目负责人：拟派项目经理须具备建筑工程专业二级及以上注册建造师资格，具有合格有效的安全生产考核合格证（B证）,本单位注册且无在建工程（提供承诺书）；</w:t>
      </w:r>
    </w:p>
    <w:p>
      <w:pPr>
        <w:pStyle w:val="null3"/>
      </w:pPr>
      <w:r>
        <w:rPr>
          <w:rFonts w:ascii="仿宋_GB2312" w:hAnsi="仿宋_GB2312" w:cs="仿宋_GB2312" w:eastAsia="仿宋_GB2312"/>
        </w:rPr>
        <w:t>3、信用查询：不得为“信用中国” 网站(http://www.creditchina.gov.cn)列入“失信被执行人（页面跳转至“ 中国执行信息公开网”http://zxgk.court.gov.c n/ shixin/）、重大税收违法失信主体、政府采购严重违法失信行为记录名单” 的供应商；不得为中国政府采购网(http://www.ccgp.gov.cn)“ 政府采购严重违法失信行为记录名单”中的供应商 ; (根据财库【2019】38号文规定，此项由采购人在磋商响应截止日当天在“信用中国” 网站和中国政府采购网站进行查询； 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陕西中晟同济项目管理有限公司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陕西省西安市莲湖区未央路世纪金园B座401室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俱雨婷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17391200039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采购包1：782,192.01元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代理服务费收费标准：1.成交人在领取成交通知书时，向陕西中晟同济项目管理有限公司缴纳 招标代理服务费及造价咨询费。造价咨询服务费以最高限价为基数，依据陕西省物价局陕西省住房和城乡建设厅《关于我省工程造价咨询服务收费标准有关问题的通知》陕价行发[2014]88 号规定的收费标准计取造价咨询服务费。招标代理服务费以中标金额为基数，依据《招标代理 服务收费管理暂行办法》计价格[2002]1980号规定的收费标准计取。应采用转账、刷卡、现金 形式缴纳。 汇款账户： 1.开户行名称：陕西中晟同济项目管理有限公司 2.开户 行：中国建设银行唐延路支行 3.帐 号：6105 0192 3900 0000 1824备注：供应商在汇款时须注明项目编号+项目简称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陕西中晟同济项目管理有限公司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陕西中晟同济项目管理有限公司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陕西中晟同济项目管理有限公司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陕西中晟同济项目管理有限公司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联系人：俱雨婷</w:t>
      </w:r>
    </w:p>
    <w:p>
      <w:pPr>
        <w:pStyle w:val="null3"/>
      </w:pPr>
      <w:r>
        <w:rPr>
          <w:rFonts w:ascii="仿宋_GB2312" w:hAnsi="仿宋_GB2312" w:cs="仿宋_GB2312" w:eastAsia="仿宋_GB2312"/>
        </w:rPr>
        <w:t>联系电话：17391200039</w:t>
      </w:r>
    </w:p>
    <w:p>
      <w:pPr>
        <w:pStyle w:val="null3"/>
      </w:pPr>
      <w:r>
        <w:rPr>
          <w:rFonts w:ascii="仿宋_GB2312" w:hAnsi="仿宋_GB2312" w:cs="仿宋_GB2312" w:eastAsia="仿宋_GB2312"/>
        </w:rPr>
        <w:t>地址：陕西省西安市莲湖区未央路世纪金园B座401室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782,192.01</w:t>
      </w:r>
    </w:p>
    <w:p>
      <w:pPr>
        <w:pStyle w:val="null3"/>
      </w:pPr>
      <w:r>
        <w:rPr>
          <w:rFonts w:ascii="仿宋_GB2312" w:hAnsi="仿宋_GB2312" w:cs="仿宋_GB2312" w:eastAsia="仿宋_GB2312"/>
        </w:rPr>
        <w:t>采购包最高限价（元）: 782,192.01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阎良区关山中学教学楼改造工程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782,192.01</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标的名称：阎良区关山中学教学楼改造工程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工程质量等级达到合格或以上标准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工程量清单详见附件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 .3其他要求 一、工期及地点： 1.工 期：25天。 2.施工地点：西安市阎良区关山镇文化东路 二、运输、施工：成交人负责材料的运输、施工及其他伴随服务。 三、成交人在领取成交通知书时提供一正两副纸质竞争性磋商响应文件及电子竞争性磋商响应文件一份（U 盘或移动硬盘；电子响应文件为Word版本和PDF版本，PDF文件为签字、盖章的完整正本扫描件）。装订：纸质竞争性磋商 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1、提供供应商合法注册的法人或者其他组织的营业执照等证明文件、 自然人的身份证明：提供供应商合法注册的法人或者其他组织的营业执照等证明文件、 自然人的身份证明； 2、财务状况报告：提供具有财务审计资质单位出具的完整的2024年度财务报告（成立时间至开标时间不足一年的可提供成立后任意时段的资产负债表）或开标前六个月内其基本账户银行出具的资信证明或政府采购信用担保机构出具的担保函； 3、税收缴纳证明：提供截止至开标时间前一年内任意一个月的缴纳凭据；（增值税、企业所得税至少提供一种，依法免税的投标人应提供相关文件证明）； 4、社会保障资金缴纳证明：提供截止至开标时间前六个月内任意一个月的社保缴纳凭据或社保机构开具的社会保险参保缴纳情况证明；（依法不需要缴纳社会保障资金的投标人应提供相关证明）； 5、提供具有履行本合同所必需的设备和专业技术能力的说明及承诺：提供具有履行本合同所必需的设备和专业技术能力的说明及承诺：（提供书面说明及承诺，加盖供应商公章）； 6、提供参加政府采购活动前三年内在经营活动中没有重大违法记录的书面声明：提供参加政府采购活动前三年内在经营 活动中没有重大违法记录的书面声明；（提供书面声明，加盖供应商公章）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具备建设行政部门颁发的建筑工程施工总承包三级以上（含三级）资质或者建筑装修装饰工程专业承包二级以上（含二级）资质，且具备有效的安全生产许可证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拟派项目经理须具备建筑工程专业二级及以上注册建造师资格，具有合格有效的安全生产考核合格证（B证）,本单位注册且无在建工程（提供承诺书）；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项目管理机构组成表 中小企业声明函 供应商应提交的相关资格证明材料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 网站(http://www.creditchina.gov.cn)列入“失信被执行人（页面跳转至“ 中国执行信息公开网”http://zxgk.court.gov.c n/ shixin/）、重大税收违法失信主体、政府采购严重违法失信行为记录名单” 的供应商；不得为中国政府采购网(http://www.ccgp.gov.cn)“ 政府采购严重违法失信行为记录名单”中的供应商 ; (根据财库【2019】38号文规定，此项由采购人在磋商响应截止日当天在“信用中国” 网站和中国政府采购网站进行查询； 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磋商响应文件对工期、质保期、付款方式、验收等商务要求进行详细说明，完全响应磋商文件的计1分 , 工期每提前一个日历日加1分, 最多加2分。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以合同形式提供供应商2022年1月至今类似项目业绩，提供一份业绩计2分，计满6分为止。（以合同签 署时间为准）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确保工程质量的技术组织措施，内容科学全面，具体措施详细具体计 6-3分，内容不全面计3- 1分，未提供不计分。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确保文明施工的技术组织措施及环 境保护措施，内容具体全面的计6- 3分，措施缺项、不全面计3- 1分 ,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确保安全生产的技术组织措施，措施详细具体全面的计6-3分，措施内容不全面计3- 1分，未提供不计分。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确保工期的技术组织措施，措施详细具体全面的计6-3分，措施内容不全面计3- 1分，未提供不计分。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施工方案，方案详细全面、科学合理计7-3分，方案内容不全面计3- 1分，未提供不计分。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施工机械及材料投入计划，机械及材料配备齐全、计划全面合理且实施性强计6-3分，计划内容不全面计3-1分，未提供不计分。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施工进度网络图或施工进度表，网络图或进度表内容详尽、安排合理且实施性强计6-3分，内容安排不合理计3- 1分，未提供不计分。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劳动力安排计划及劳务分包情况， 计划安排科学合理合计6-3分，计划安排不合理计3- 1分，未提供不 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项目经理部组织机构，人员配备全 面合理计6-3分，人员配备不全面合理计3- 1分，未提供不计分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完全承诺磋商文件和合同条款，并针对本项目实际需求提供实质性服务承诺，确有利于本次招标，服务内容全面合理，实施性强计6-3分, 内容不全面、实施性不强计3- 1分 ,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 采购方式管理暂行办法》（财库[2 014]214号）的有关规定：价格分 采用低价优先法计算，即满足竞争 性磋商文件要求且最后报价最低的 供应商的价格为磋商基准价，其价 格分为满分。其他供应商的价格分 统一按照下列公式计算：磋商报价 得分=（磋商基准价/最终磋商报价 ) ×价格权值（即30%）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