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版本号：SDZC2025-12420250709001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购买2026年校车保险项目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SDZC2025-124</w:t>
      </w:r>
      <w:r>
        <w:br/>
      </w:r>
      <w:r>
        <w:br/>
      </w:r>
      <w:r>
        <w:br/>
      </w:r>
    </w:p>
    <w:p>
      <w:pPr>
        <w:pStyle w:val="null3"/>
        <w:jc w:val="center"/>
        <w:outlineLvl w:val="2"/>
      </w:pPr>
      <w:r>
        <w:rPr>
          <w:rFonts w:ascii="仿宋_GB2312" w:hAnsi="仿宋_GB2312" w:cs="仿宋_GB2312" w:eastAsia="仿宋_GB2312"/>
          <w:sz w:val="28"/>
          <w:b/>
        </w:rPr>
        <w:t>西安市阎良区交通运输局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西安市阎良区交通运输局</w:t>
      </w:r>
      <w:r>
        <w:rPr>
          <w:rFonts w:ascii="仿宋_GB2312" w:hAnsi="仿宋_GB2312" w:cs="仿宋_GB2312" w:eastAsia="仿宋_GB2312"/>
        </w:rPr>
        <w:t>委托，拟对</w:t>
      </w:r>
      <w:r>
        <w:rPr>
          <w:rFonts w:ascii="仿宋_GB2312" w:hAnsi="仿宋_GB2312" w:cs="仿宋_GB2312" w:eastAsia="仿宋_GB2312"/>
        </w:rPr>
        <w:t>购买2026年校车保险项目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SDZC2025-124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购买2026年校车保险项目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一、车辆数量：全区48辆公办校车 二、本次磋商所采购的险种如下： 1、交强险（含车船使用税）； 2、商业险：包括车辆损失险；第三者责任险（200万元）； 3、承运人责任险（50万/座）。 三、保险周期： 交强险 43辆海格车：2025年8月24日至2026年8月23日 5辆中通车：2025年10月25日至2026年10月24日 商业险 43辆海格车：2025年12月31日至2026年12月30日 5辆中通车：2025年10月26日至2026年10月25日 承运人险 43辆海格车：2026年1月1日至2026年12月31日 5辆中通车：2025年10月25日至2026年10月24日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经营机动车辆保险业务资格：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西安市阎良区人民东路新汽车站内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029-86203137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采购包1：379,999.68元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转8033 备注：供应商在汇款时须注明项目编号+项目简称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西安市阎良区交通运输局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联系电话：029-86673953、86518381、89299829、89293231</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一、车辆数量：全区48辆公办校车 二、本次磋商所采购的险种如下： 1、交强险（含车船使用税）； 2、商业险：包括车辆损失险；第三者责任险（200万元）； 3、承运人责任险（50万/座）。 三、保险周期： 交强险 43辆海格车：2025年8月24日至2026年8月23日 5辆中通车：2025年10月25日至2026年10月24日 商业险 43辆海格车：2025年12月31日至2026年12月30日 5辆中通车：2025年10月26日至2026年10月25日 承运人险 43辆海格车：2026年1月1日至2026年12月31日 5辆中通车：2025年10月25日至2026年10月24日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379,999.68</w:t>
      </w:r>
    </w:p>
    <w:p>
      <w:pPr>
        <w:pStyle w:val="null3"/>
      </w:pPr>
      <w:r>
        <w:rPr>
          <w:rFonts w:ascii="仿宋_GB2312" w:hAnsi="仿宋_GB2312" w:cs="仿宋_GB2312" w:eastAsia="仿宋_GB2312"/>
        </w:rPr>
        <w:t>采购包最高限价（元）: 379,999.68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购买2026年校车保险项目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379,999.68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标的名称：购买2026年校车保险项目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一、车辆数量：全区</w:t>
            </w:r>
            <w:r>
              <w:rPr>
                <w:rFonts w:ascii="仿宋_GB2312" w:hAnsi="仿宋_GB2312" w:cs="仿宋_GB2312" w:eastAsia="仿宋_GB2312"/>
                <w:sz w:val="21"/>
                <w:shd w:fill="FFFFFF" w:val="clear"/>
              </w:rPr>
              <w:t>48辆公办校车</w:t>
            </w:r>
          </w:p>
          <w:p>
            <w:pPr>
              <w:pStyle w:val="null3"/>
              <w:jc w:val="both"/>
            </w:pPr>
            <w:r>
              <w:rPr>
                <w:rFonts w:ascii="仿宋_GB2312" w:hAnsi="仿宋_GB2312" w:cs="仿宋_GB2312" w:eastAsia="仿宋_GB2312"/>
                <w:sz w:val="21"/>
                <w:shd w:fill="FFFFFF" w:val="clear"/>
              </w:rPr>
              <w:t>二、本次磋商所采购的险种如下：</w:t>
            </w:r>
            <w:r>
              <w:rPr>
                <w:rFonts w:ascii="仿宋_GB2312" w:hAnsi="仿宋_GB2312" w:cs="仿宋_GB2312" w:eastAsia="仿宋_GB2312"/>
                <w:sz w:val="21"/>
                <w:shd w:fill="FFFFFF" w:val="clear"/>
              </w:rPr>
              <w:t>1、交强险（含车船使用税）； 2、商业险：包括车辆损失险；第三者责任险（200万元）； 3、承运人责任险（50万/座）。</w:t>
            </w:r>
          </w:p>
          <w:p>
            <w:pPr>
              <w:pStyle w:val="null3"/>
              <w:jc w:val="both"/>
            </w:pPr>
            <w:r>
              <w:rPr>
                <w:rFonts w:ascii="仿宋_GB2312" w:hAnsi="仿宋_GB2312" w:cs="仿宋_GB2312" w:eastAsia="仿宋_GB2312"/>
                <w:sz w:val="21"/>
                <w:shd w:fill="FFFFFF" w:val="clear"/>
              </w:rPr>
              <w:t>三、保险周期：</w:t>
            </w:r>
          </w:p>
          <w:p>
            <w:pPr>
              <w:pStyle w:val="null3"/>
              <w:jc w:val="both"/>
            </w:pPr>
            <w:r>
              <w:rPr>
                <w:rFonts w:ascii="仿宋_GB2312" w:hAnsi="仿宋_GB2312" w:cs="仿宋_GB2312" w:eastAsia="仿宋_GB2312"/>
                <w:sz w:val="21"/>
                <w:shd w:fill="FFFFFF" w:val="clear"/>
              </w:rPr>
              <w:t>交强险</w:t>
            </w:r>
          </w:p>
          <w:p>
            <w:pPr>
              <w:pStyle w:val="null3"/>
              <w:jc w:val="left"/>
            </w:pPr>
            <w:r>
              <w:rPr>
                <w:rFonts w:ascii="仿宋_GB2312" w:hAnsi="仿宋_GB2312" w:cs="仿宋_GB2312" w:eastAsia="仿宋_GB2312"/>
                <w:sz w:val="21"/>
                <w:shd w:fill="FFFFFF" w:val="clear"/>
              </w:rPr>
              <w:t>43辆海格车：202</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8月2</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日至</w:t>
            </w:r>
            <w:r>
              <w:rPr>
                <w:rFonts w:ascii="仿宋_GB2312" w:hAnsi="仿宋_GB2312" w:cs="仿宋_GB2312" w:eastAsia="仿宋_GB2312"/>
                <w:sz w:val="21"/>
                <w:shd w:fill="FFFFFF" w:val="clear"/>
              </w:rPr>
              <w:t>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8月2</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日</w:t>
            </w:r>
          </w:p>
          <w:p>
            <w:pPr>
              <w:pStyle w:val="null3"/>
              <w:jc w:val="left"/>
            </w:pPr>
            <w:r>
              <w:rPr>
                <w:rFonts w:ascii="仿宋_GB2312" w:hAnsi="仿宋_GB2312" w:cs="仿宋_GB2312" w:eastAsia="仿宋_GB2312"/>
                <w:sz w:val="21"/>
                <w:shd w:fill="FFFFFF" w:val="clear"/>
              </w:rPr>
              <w:t>5辆中通车：202</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10月25日至202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10月24日</w:t>
            </w:r>
          </w:p>
          <w:p>
            <w:pPr>
              <w:pStyle w:val="null3"/>
              <w:jc w:val="left"/>
            </w:pPr>
            <w:r>
              <w:rPr>
                <w:rFonts w:ascii="仿宋_GB2312" w:hAnsi="仿宋_GB2312" w:cs="仿宋_GB2312" w:eastAsia="仿宋_GB2312"/>
                <w:sz w:val="21"/>
                <w:shd w:fill="FFFFFF" w:val="clear"/>
              </w:rPr>
              <w:t>商业险</w:t>
            </w:r>
          </w:p>
          <w:p>
            <w:pPr>
              <w:pStyle w:val="null3"/>
              <w:jc w:val="left"/>
            </w:pPr>
            <w:r>
              <w:rPr>
                <w:rFonts w:ascii="仿宋_GB2312" w:hAnsi="仿宋_GB2312" w:cs="仿宋_GB2312" w:eastAsia="仿宋_GB2312"/>
                <w:sz w:val="21"/>
                <w:shd w:fill="FFFFFF" w:val="clear"/>
              </w:rPr>
              <w:t>43辆海格车：2025年</w:t>
            </w:r>
            <w:r>
              <w:rPr>
                <w:rFonts w:ascii="仿宋_GB2312" w:hAnsi="仿宋_GB2312" w:cs="仿宋_GB2312" w:eastAsia="仿宋_GB2312"/>
                <w:sz w:val="21"/>
                <w:shd w:fill="FFFFFF" w:val="clear"/>
              </w:rPr>
              <w:t>12</w:t>
            </w:r>
            <w:r>
              <w:rPr>
                <w:rFonts w:ascii="仿宋_GB2312" w:hAnsi="仿宋_GB2312" w:cs="仿宋_GB2312" w:eastAsia="仿宋_GB2312"/>
                <w:sz w:val="21"/>
                <w:shd w:fill="FFFFFF" w:val="clear"/>
              </w:rPr>
              <w:t>月</w:t>
            </w:r>
            <w:r>
              <w:rPr>
                <w:rFonts w:ascii="仿宋_GB2312" w:hAnsi="仿宋_GB2312" w:cs="仿宋_GB2312" w:eastAsia="仿宋_GB2312"/>
                <w:sz w:val="21"/>
                <w:shd w:fill="FFFFFF" w:val="clear"/>
              </w:rPr>
              <w:t>31</w:t>
            </w:r>
            <w:r>
              <w:rPr>
                <w:rFonts w:ascii="仿宋_GB2312" w:hAnsi="仿宋_GB2312" w:cs="仿宋_GB2312" w:eastAsia="仿宋_GB2312"/>
                <w:sz w:val="21"/>
                <w:shd w:fill="FFFFFF" w:val="clear"/>
              </w:rPr>
              <w:t>日至</w:t>
            </w:r>
            <w:r>
              <w:rPr>
                <w:rFonts w:ascii="仿宋_GB2312" w:hAnsi="仿宋_GB2312" w:cs="仿宋_GB2312" w:eastAsia="仿宋_GB2312"/>
                <w:sz w:val="21"/>
                <w:shd w:fill="FFFFFF" w:val="clear"/>
              </w:rPr>
              <w:t>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12月</w:t>
            </w:r>
            <w:r>
              <w:rPr>
                <w:rFonts w:ascii="仿宋_GB2312" w:hAnsi="仿宋_GB2312" w:cs="仿宋_GB2312" w:eastAsia="仿宋_GB2312"/>
                <w:sz w:val="21"/>
                <w:shd w:fill="FFFFFF" w:val="clear"/>
              </w:rPr>
              <w:t>30</w:t>
            </w:r>
            <w:r>
              <w:rPr>
                <w:rFonts w:ascii="仿宋_GB2312" w:hAnsi="仿宋_GB2312" w:cs="仿宋_GB2312" w:eastAsia="仿宋_GB2312"/>
                <w:sz w:val="21"/>
                <w:shd w:fill="FFFFFF" w:val="clear"/>
              </w:rPr>
              <w:t>日</w:t>
            </w:r>
          </w:p>
          <w:p>
            <w:pPr>
              <w:pStyle w:val="null3"/>
              <w:jc w:val="left"/>
            </w:pPr>
            <w:r>
              <w:rPr>
                <w:rFonts w:ascii="仿宋_GB2312" w:hAnsi="仿宋_GB2312" w:cs="仿宋_GB2312" w:eastAsia="仿宋_GB2312"/>
                <w:sz w:val="21"/>
                <w:shd w:fill="FFFFFF" w:val="clear"/>
              </w:rPr>
              <w:t>5辆中通车：202</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日至</w:t>
            </w:r>
            <w:r>
              <w:rPr>
                <w:rFonts w:ascii="仿宋_GB2312" w:hAnsi="仿宋_GB2312" w:cs="仿宋_GB2312" w:eastAsia="仿宋_GB2312"/>
                <w:sz w:val="21"/>
                <w:shd w:fill="FFFFFF" w:val="clear"/>
              </w:rPr>
              <w:t>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日</w:t>
            </w:r>
          </w:p>
          <w:p>
            <w:pPr>
              <w:pStyle w:val="null3"/>
              <w:jc w:val="left"/>
            </w:pPr>
            <w:r>
              <w:rPr>
                <w:rFonts w:ascii="仿宋_GB2312" w:hAnsi="仿宋_GB2312" w:cs="仿宋_GB2312" w:eastAsia="仿宋_GB2312"/>
                <w:sz w:val="21"/>
                <w:shd w:fill="FFFFFF" w:val="clear"/>
              </w:rPr>
              <w:t>承运人险</w:t>
            </w:r>
          </w:p>
          <w:p>
            <w:pPr>
              <w:pStyle w:val="null3"/>
              <w:jc w:val="left"/>
            </w:pPr>
            <w:r>
              <w:rPr>
                <w:rFonts w:ascii="仿宋_GB2312" w:hAnsi="仿宋_GB2312" w:cs="仿宋_GB2312" w:eastAsia="仿宋_GB2312"/>
                <w:sz w:val="21"/>
                <w:shd w:fill="FFFFFF" w:val="clear"/>
              </w:rPr>
              <w:t>43辆海格车：202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1月1日至202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12月31日</w:t>
            </w:r>
          </w:p>
          <w:p>
            <w:pPr>
              <w:pStyle w:val="null3"/>
              <w:jc w:val="left"/>
            </w:pPr>
            <w:r>
              <w:rPr>
                <w:rFonts w:ascii="仿宋_GB2312" w:hAnsi="仿宋_GB2312" w:cs="仿宋_GB2312" w:eastAsia="仿宋_GB2312"/>
                <w:sz w:val="21"/>
                <w:shd w:fill="FFFFFF" w:val="clear"/>
              </w:rPr>
              <w:t>5辆中通车：202</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10月25日至202</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10月24日</w:t>
            </w:r>
          </w:p>
          <w:tbl>
            <w:tblPr>
              <w:tblInd w:type="dxa" w:w="90"/>
              <w:tblBorders>
                <w:top w:val="none" w:color="000000" w:sz="4"/>
                <w:left w:val="none" w:color="000000" w:sz="4"/>
                <w:bottom w:val="none" w:color="000000" w:sz="4"/>
                <w:right w:val="none" w:color="000000" w:sz="4"/>
                <w:insideH w:val="none"/>
                <w:insideV w:val="none"/>
              </w:tblBorders>
            </w:tblPr>
            <w:tblGrid>
              <w:gridCol w:w="100"/>
              <w:gridCol w:w="225"/>
              <w:gridCol w:w="232"/>
              <w:gridCol w:w="365"/>
              <w:gridCol w:w="258"/>
              <w:gridCol w:w="340"/>
              <w:gridCol w:w="200"/>
              <w:gridCol w:w="333"/>
              <w:gridCol w:w="133"/>
              <w:gridCol w:w="167"/>
              <w:gridCol w:w="200"/>
            </w:tblGrid>
            <w:tr>
              <w:tc>
                <w:tcPr>
                  <w:tcW w:type="dxa" w:w="2553"/>
                  <w:gridSpan w:val="11"/>
                  <w:tcBorders>
                    <w:top w:val="none" w:color="000000" w:sz="4"/>
                    <w:left w:val="none" w:color="000000" w:sz="4"/>
                    <w:bottom w:val="none" w:color="000000" w:sz="4"/>
                    <w:right w:val="non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31"/>
                      <w:color w:val="000000"/>
                    </w:rPr>
                    <w:t>阎良区校车</w:t>
                  </w:r>
                  <w:r>
                    <w:rPr>
                      <w:rFonts w:ascii="仿宋_GB2312" w:hAnsi="仿宋_GB2312" w:cs="仿宋_GB2312" w:eastAsia="仿宋_GB2312"/>
                      <w:sz w:val="31"/>
                      <w:color w:val="000000"/>
                    </w:rPr>
                    <w:t>48 辆名录</w:t>
                  </w:r>
                </w:p>
              </w:tc>
            </w:tr>
            <w:tr>
              <w:tc>
                <w:tcPr>
                  <w:tcW w:type="dxa" w:w="100"/>
                  <w:tcBorders>
                    <w:top w:val="singl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序号</w:t>
                  </w:r>
                </w:p>
              </w:tc>
              <w:tc>
                <w:tcPr>
                  <w:tcW w:type="dxa" w:w="225"/>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车</w:t>
                  </w:r>
                  <w:r>
                    <w:rPr>
                      <w:rFonts w:ascii="仿宋_GB2312" w:hAnsi="仿宋_GB2312" w:cs="仿宋_GB2312" w:eastAsia="仿宋_GB2312"/>
                      <w:sz w:val="19"/>
                      <w:color w:val="000000"/>
                    </w:rPr>
                    <w:t xml:space="preserve"> 号</w:t>
                  </w:r>
                </w:p>
              </w:tc>
              <w:tc>
                <w:tcPr>
                  <w:tcW w:type="dxa" w:w="232"/>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车辆类型</w:t>
                  </w:r>
                </w:p>
              </w:tc>
              <w:tc>
                <w:tcPr>
                  <w:tcW w:type="dxa" w:w="365"/>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品牌型号</w:t>
                  </w:r>
                </w:p>
              </w:tc>
              <w:tc>
                <w:tcPr>
                  <w:tcW w:type="dxa" w:w="258"/>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发动机号</w:t>
                  </w:r>
                </w:p>
              </w:tc>
              <w:tc>
                <w:tcPr>
                  <w:tcW w:type="dxa" w:w="340"/>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车辆识别代号</w:t>
                  </w:r>
                </w:p>
              </w:tc>
              <w:tc>
                <w:tcPr>
                  <w:tcW w:type="dxa" w:w="200"/>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注册日期</w:t>
                  </w:r>
                </w:p>
              </w:tc>
              <w:tc>
                <w:tcPr>
                  <w:tcW w:type="dxa" w:w="333"/>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核定人数  </w:t>
                  </w:r>
                </w:p>
              </w:tc>
              <w:tc>
                <w:tcPr>
                  <w:tcW w:type="dxa" w:w="133"/>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总质量</w:t>
                  </w:r>
                </w:p>
              </w:tc>
              <w:tc>
                <w:tcPr>
                  <w:tcW w:type="dxa" w:w="167"/>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整备质量</w:t>
                  </w:r>
                </w:p>
              </w:tc>
              <w:tc>
                <w:tcPr>
                  <w:tcW w:type="dxa" w:w="200"/>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报废日期</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E28SAG00092</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LKLS1DS63GA710454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A95950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FG3SAG00018</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LKLS1CS43GA710477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E28SAG00087</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LKLS1DS65GA710441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A95836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E28SAG00078</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LKLS1DS62GA710459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E28SAG00098</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LKLS1DS60GA710458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6</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A95639</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E28SAG00082</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LKLS1DS66GA710464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A95622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E28SAG00102</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LKLS1DS65GA710455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8</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A95501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E28SAG00081</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LKLS1DS64GA710463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A95963</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E28SAG00094</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LKLS1DS69GA710457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10</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A95575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E28SAG00104</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LKLS1DS60GA710444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11</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A95700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FG3SAG00013</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LKLS1CS44GA710469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12</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FG3SAG00011</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LKLS1CS41GA710476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13</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A95877</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E28SAG00097</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LKLS1DS60GA710461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14</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A95855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LKLS1DS68GA710448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15</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A95892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LKLS1DS69GA710443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16</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LKLS1DS6XGA710466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17</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LKLS1DS62GA710445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18</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A95809</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E28SAG00091</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LKLS1DS6XGA710452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19</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A95889</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FG3SAG00017</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LKLS1CS4XGA710475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A95951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E28SAG00093</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LKLS1DS69GA710460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21</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LKLS1DS61GA710467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22</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A95926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FG3SAG00010</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LKLS1CS44GA710472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23</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A95602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LKLS1DS64GA710446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24</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E28SAG00088</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LKLS1DS6XGA710449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25</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A95663</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E28SAG00084</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LKLS1DS63GA710440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26</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A95691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LKLS1DS68GA710465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27</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A95531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LKLS1CS42GA710471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28</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A95991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E28SAG00103</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LKLS1DS62GA710469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29</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A95890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E28SAG00090</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LKLS1DS67GA710456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30</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E28SAG00089</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LKLS1DS61GA710453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31</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E28SAG00030</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LKLS1DS67GA710439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32</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E28SAG00101</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LKLS1DS66GA710450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33</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A95861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E28SAG00100</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LKLS1DS66GA710447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34</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A95681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LKLS1CS45GA710478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A95636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FG3SAG00014</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LKLS1CS46GA710473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36</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LKLS1DS65GA710438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37</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E28SAG00080</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LKLS1DS68GA710451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38</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A95536</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FG3SAG00007</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LKLS1CS48GA710474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39</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A95910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E28SAG00077</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LKLS1DS67GA710442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40</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A95835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E28SAG00099</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LKLS1DS61GA710436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41</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A95853</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E28SAG00083</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LKLS1DS63GA710437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42</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A95829</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E28SAG00079</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LKLS1DS63GA710468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43</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A95582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FG3SAG00012</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LKLS1CS40GA710470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44</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ACB502</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YM41FAM00426</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45</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ACP291</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YM41FAM00315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ACP827</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YM41FAM00438</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47</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ACP585</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YM41FAM00425</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LGF1BA9R0MF102319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100"/>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48</w:t>
                  </w:r>
                </w:p>
              </w:tc>
              <w:tc>
                <w:tcPr>
                  <w:tcW w:type="dxa" w:w="22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ACP970</w:t>
                  </w:r>
                </w:p>
              </w:tc>
              <w:tc>
                <w:tcPr>
                  <w:tcW w:type="dxa" w:w="232"/>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5"/>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5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YM41FAM00442</w:t>
                  </w:r>
                </w:p>
              </w:tc>
              <w:tc>
                <w:tcPr>
                  <w:tcW w:type="dxa" w:w="34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3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7"/>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西安市阎良区交通运输局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办理保险手续时，供应商开具合同总价数的全额发票交采购人。采购人在支付保险费时，按供应商所承诺的费率进行审核，审核后支付实际的保险费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3、在执行本合同中发生的或与本合同有关的争端，双方应通过友好协商解决，经协商在15天内不能达成协议时，应提交西安仲裁委员会仲裁。 4、仲裁裁决应为最终决定，并对双方具有约束力。 5、除另有裁决外，仲裁费应由败诉方负担。 6、在仲裁期间，除正在进行仲裁部分外，合同其他部分继续执行。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装订：纸质竞争性磋商响应文件采用书籍（胶装）方式装订成册，与电子竞争性磋商响应文件一致的签字、盖章的完整版本。 2、本项目总价按预算379,999.68元填写，自主核保系数下浮率（范围：0-100）。 价格分统一采用低价优先法计算，即满足磋商文件要求且(1-最高下浮率报价)为评标基准价，下浮率最高的报价分为满分。其他供应商的价格分统一按照下列公式计算： 磋商报价得分= (磋商基准价／（1-下浮率报价)）×价格权值（即10%）×100 自主核保系数下浮率的定义：定价10元的产品减到8元为8.0折。 折扣=1-系数下浮率，本文件要求投标文件统一用系数下浮率报价和描述。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经营机动车辆保险业务资格</w:t>
            </w:r>
          </w:p>
        </w:tc>
        <w:tc>
          <w:tcPr>
            <w:tcW w:type="dxa" w:w="3322"/>
          </w:tcPr>
          <w:p>
            <w:pPr>
              <w:pStyle w:val="null3"/>
            </w:pPr>
            <w:r>
              <w:rPr>
                <w:rFonts w:ascii="仿宋_GB2312" w:hAnsi="仿宋_GB2312" w:cs="仿宋_GB2312" w:eastAsia="仿宋_GB2312"/>
              </w:rPr>
              <w:t>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响应文件编制格式</w:t>
            </w:r>
          </w:p>
        </w:tc>
        <w:tc>
          <w:tcPr>
            <w:tcW w:type="dxa" w:w="3322"/>
          </w:tcPr>
          <w:p>
            <w:pPr>
              <w:pStyle w:val="null3"/>
            </w:pPr>
            <w:r>
              <w:rPr>
                <w:rFonts w:ascii="仿宋_GB2312" w:hAnsi="仿宋_GB2312" w:cs="仿宋_GB2312" w:eastAsia="仿宋_GB2312"/>
              </w:rPr>
              <w:t>除明确允许供应商可以自行编写的外，响应文件是否按照磋商文件给定的格式和要求编制</w:t>
            </w:r>
          </w:p>
        </w:tc>
        <w:tc>
          <w:tcPr>
            <w:tcW w:type="dxa" w:w="1661"/>
          </w:tcPr>
          <w:p>
            <w:pPr>
              <w:pStyle w:val="null3"/>
            </w:pPr>
            <w:r>
              <w:rPr>
                <w:rFonts w:ascii="仿宋_GB2312" w:hAnsi="仿宋_GB2312" w:cs="仿宋_GB2312" w:eastAsia="仿宋_GB2312"/>
              </w:rPr>
              <w:t>服务条款响应偏离表 业绩.docx 培训方案.docx 时效保障承诺.docx 中小企业声明函 承诺书.docx 保障范围.docx 投诉管理制度.docx 报价表 商务条款响应偏离表.docx 资格证明文件.docx 供应商有必要说明的其他事项.docx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服务条款响应偏离表 业绩.docx 培训方案.docx 时效保障承诺.docx 中小企业声明函 承诺书.docx 保障范围.docx 投诉管理制度.docx 报价表 商务条款响应偏离表.docx 资格证明文件.docx 供应商有必要说明的其他事项.docx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针对同一项目不存在提交两份或多份内容不同的投标文件，未书面声明哪一份是有效的或出现选择性报价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是否对磋商文件商务要求作出明确且实质性响应；是否对磋商文件技术要求作出明确响应，对不得偏离的要求未作出实质性响应。</w:t>
            </w:r>
          </w:p>
        </w:tc>
        <w:tc>
          <w:tcPr>
            <w:tcW w:type="dxa" w:w="1661"/>
          </w:tcPr>
          <w:p>
            <w:pPr>
              <w:pStyle w:val="null3"/>
            </w:pPr>
            <w:r>
              <w:rPr>
                <w:rFonts w:ascii="仿宋_GB2312" w:hAnsi="仿宋_GB2312" w:cs="仿宋_GB2312" w:eastAsia="仿宋_GB2312"/>
              </w:rPr>
              <w:t>服务条款响应偏离表 商务条款响应偏离表.docx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3322"/>
          </w:tcPr>
          <w:p>
            <w:pPr>
              <w:pStyle w:val="null3"/>
            </w:pPr>
            <w:r>
              <w:rPr>
                <w:rFonts w:ascii="仿宋_GB2312" w:hAnsi="仿宋_GB2312" w:cs="仿宋_GB2312" w:eastAsia="仿宋_GB2312"/>
              </w:rPr>
              <w:t>投标文件中提供的企业及人员资质证书等材料须在合同签订及履行期间持续有效，否则应在投标文件中提供一份承诺书，承诺到期前完成续期并向采购人提供新的材料。</w:t>
            </w:r>
          </w:p>
        </w:tc>
        <w:tc>
          <w:tcPr>
            <w:tcW w:type="dxa" w:w="1661"/>
          </w:tcPr>
          <w:p>
            <w:pPr>
              <w:pStyle w:val="null3"/>
            </w:pPr>
            <w:r>
              <w:rPr>
                <w:rFonts w:ascii="仿宋_GB2312" w:hAnsi="仿宋_GB2312" w:cs="仿宋_GB2312" w:eastAsia="仿宋_GB2312"/>
              </w:rPr>
              <w:t>服务条款响应偏离表 业绩.docx 培训方案.docx 时效保障承诺.docx 中小企业声明函 承诺书.docx 保障范围.docx 投诉管理制度.docx 报价表 商务条款响应偏离表.docx 资格证明文件.docx 供应商有必要说明的其他事项.docx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响应文件无采购人不能接受的附加条件</w:t>
            </w:r>
          </w:p>
        </w:tc>
        <w:tc>
          <w:tcPr>
            <w:tcW w:type="dxa" w:w="1661"/>
          </w:tcPr>
          <w:p>
            <w:pPr>
              <w:pStyle w:val="null3"/>
            </w:pPr>
            <w:r>
              <w:rPr>
                <w:rFonts w:ascii="仿宋_GB2312" w:hAnsi="仿宋_GB2312" w:cs="仿宋_GB2312" w:eastAsia="仿宋_GB2312"/>
              </w:rPr>
              <w:t>供应商有必要说明的其他事项.docx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服务条款响应偏离表 业绩.docx 培训方案.docx 时效保障承诺.docx 中小企业声明函 承诺书.docx 保障范围.docx 投诉管理制度.docx 报价表 商务条款响应偏离表.docx 资格证明文件.docx 供应商有必要说明的其他事项.docx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评审得分相同的，按照最后报价由低到高的顺序推荐。评审得分且最后报价相同的，按照技术指标优劣顺序推荐。若上述两项得分相同，则由磋商小组成员无记名投票，得票高者为第一中标候选人。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保障范围</w:t>
            </w:r>
          </w:p>
        </w:tc>
        <w:tc>
          <w:tcPr>
            <w:tcW w:type="dxa" w:w="2492"/>
          </w:tcPr>
          <w:p>
            <w:pPr>
              <w:pStyle w:val="null3"/>
            </w:pPr>
            <w:r>
              <w:rPr>
                <w:rFonts w:ascii="仿宋_GB2312" w:hAnsi="仿宋_GB2312" w:cs="仿宋_GB2312" w:eastAsia="仿宋_GB2312"/>
              </w:rPr>
              <w:t>根据供应商针对本项目的校车保险投保保障范围进行综合评分： ①完全符合竞争性磋商文件的保险保障要求，措辞严谨，描述清晰，保障全面，对保险保障范围进行实质性扩展、提升得10分； ②有明确的保障范围、保险保障要求措辞合理且内容完善，对保障范围有提升的得8分； ③符合保障范围及保险保障要求，未提供相应优惠措施的得4分； ④符合保障范围及保险保障要求得2分； ⑤未提供车辆保障范围不得分。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保障范围.docx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根据供应商承保、理赔服务方案的合理性、简便性、时效性、适用性，进行综合评定： ①服务方案内容完整、合理，投保、理赔程序清晰明确，理赔时效性高，各类服务丰富实用针对性强得10分； ②服务方案内容充实，投保、理赔程序规范，理赔及时，各类服务明确的得8分； ③服务方案内容有欠缺，投保、理赔等服务有欠缺，但尚且具备可操作性得4分； ④服务方案内容欠缺多，投保、理赔等服务欠缺多得2分； ⑤没有服务方案或服务方案与本项目要求严重不符的不得分。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投诉管理制度</w:t>
            </w:r>
          </w:p>
        </w:tc>
        <w:tc>
          <w:tcPr>
            <w:tcW w:type="dxa" w:w="2492"/>
          </w:tcPr>
          <w:p>
            <w:pPr>
              <w:pStyle w:val="null3"/>
            </w:pPr>
            <w:r>
              <w:rPr>
                <w:rFonts w:ascii="仿宋_GB2312" w:hAnsi="仿宋_GB2312" w:cs="仿宋_GB2312" w:eastAsia="仿宋_GB2312"/>
              </w:rPr>
              <w:t>有严格的投诉管理制度，并严格执行。 ①具有完善的制度，完全能够保证项目的顺利实施的，计6分； ②制度内容有欠缺的或制度保障深度不足的计3分； ③未提供相关内容的不计分；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投诉管理制度.docx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定期提供优质的保险服务培训，提供详细的培训方案。 ①内容详细全面、方案合理、完善可行的计6分； ②有欠缺或只有书面承诺，缺少具体措施办法的计3分； ③未提供本项内容的不计分。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客户回访</w:t>
            </w:r>
          </w:p>
        </w:tc>
        <w:tc>
          <w:tcPr>
            <w:tcW w:type="dxa" w:w="2492"/>
          </w:tcPr>
          <w:p>
            <w:pPr>
              <w:pStyle w:val="null3"/>
            </w:pPr>
            <w:r>
              <w:rPr>
                <w:rFonts w:ascii="仿宋_GB2312" w:hAnsi="仿宋_GB2312" w:cs="仿宋_GB2312" w:eastAsia="仿宋_GB2312"/>
              </w:rPr>
              <w:t>定期对客户进行回访，并提供详细的服务方案。 ①内容详细全面、方案合理、完善可行的计6分； ②有欠缺或只有书面承诺，缺少具体措施办法的计3分； ③未提供本项内容的不计分。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客户回访.docx</w:t>
            </w:r>
          </w:p>
        </w:tc>
      </w:tr>
      <w:tr>
        <w:tc>
          <w:tcPr>
            <w:tcW w:type="dxa" w:w="831"/>
            <w:vMerge/>
          </w:tcPr>
          <w:p/>
        </w:tc>
        <w:tc>
          <w:tcPr>
            <w:tcW w:type="dxa" w:w="1661"/>
          </w:tcPr>
          <w:p>
            <w:pPr>
              <w:pStyle w:val="null3"/>
            </w:pPr>
            <w:r>
              <w:rPr>
                <w:rFonts w:ascii="仿宋_GB2312" w:hAnsi="仿宋_GB2312" w:cs="仿宋_GB2312" w:eastAsia="仿宋_GB2312"/>
              </w:rPr>
              <w:t>时效保障承诺1</w:t>
            </w:r>
          </w:p>
        </w:tc>
        <w:tc>
          <w:tcPr>
            <w:tcW w:type="dxa" w:w="2492"/>
          </w:tcPr>
          <w:p>
            <w:pPr>
              <w:pStyle w:val="null3"/>
            </w:pPr>
            <w:r>
              <w:rPr>
                <w:rFonts w:ascii="仿宋_GB2312" w:hAnsi="仿宋_GB2312" w:cs="仿宋_GB2312" w:eastAsia="仿宋_GB2312"/>
              </w:rPr>
              <w:t>根据供应商对出现车辆事故出险响应时效承诺情况进行评分： ①从报案确认至现场处理响应在30分钟（含）内，处理流程清晰迅速得6分； ②从报案确认至现场处理响应超过30分钟但不超过1小时（含），但处理流程清晰迅速得3分； ③从报案确认至现场处理响应超过1小时，处理流程不清晰得2分； ④从报案确认至现场处理响应超过2小时，处理流程不清晰且缓慢得1分。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时效保障承诺2</w:t>
            </w:r>
          </w:p>
        </w:tc>
        <w:tc>
          <w:tcPr>
            <w:tcW w:type="dxa" w:w="2492"/>
          </w:tcPr>
          <w:p>
            <w:pPr>
              <w:pStyle w:val="null3"/>
            </w:pPr>
            <w:r>
              <w:rPr>
                <w:rFonts w:ascii="仿宋_GB2312" w:hAnsi="仿宋_GB2312" w:cs="仿宋_GB2312" w:eastAsia="仿宋_GB2312"/>
              </w:rPr>
              <w:t>根据供应商对出现车辆事故理赔结案时效承诺情况进行评分： 从被保险人提供全部单证至完成结案的周期（以天计），结案周期最短者得6分，最短周期每延长3天（含3天内）减1分，依次递减，减完为止。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时效保障承诺3</w:t>
            </w:r>
          </w:p>
        </w:tc>
        <w:tc>
          <w:tcPr>
            <w:tcW w:type="dxa" w:w="2492"/>
          </w:tcPr>
          <w:p>
            <w:pPr>
              <w:pStyle w:val="null3"/>
            </w:pPr>
            <w:r>
              <w:rPr>
                <w:rFonts w:ascii="仿宋_GB2312" w:hAnsi="仿宋_GB2312" w:cs="仿宋_GB2312" w:eastAsia="仿宋_GB2312"/>
              </w:rPr>
              <w:t>根据供应商对出现车辆事故从赔款金额确认至划到被保险人账户的结案支付周期时效承诺情况进行评分： 结案周期最短者得5分，较最短周期每延长3天（含3天内）减1分，依次递减，减完为止。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项目负责人资格证书、职称水平、荣誉证书及丰富的承保工作经验进行综合评分； ①项目负责人专业匹配度高、资历丰富、有相关证书、经验丰富得5分； ②项目负责人有相关证书、经验丰富得3分； ③项目负责人专业不匹配、无相关证书、经验欠缺得1分； 注：须提供人员身份证、学历证、职称证书、资格证、工作经历材料并加盖供应商公章。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服务团队人员应包含承保、理赔、风险管理和协调沟通不同专业能力和职能的人员，根据团队人员构成情况、人员数量、职责情况进行综合评分： ①服务团队人员构成专业全面，服务团队岗位人员≥3人且职责明确合理得10分； ②服务团队人员构成全面，服务团队人员≥3人，职责不明确得7分； ③服务团队人员专业构成存在缺陷，服务团队人员不足3人，职责混乱得4分。 ④未提供服务团队人员不得分。 注：须提供人员身份证、资格证书等材料并加盖供应商公章。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其他服务与优惠承诺1</w:t>
            </w:r>
          </w:p>
        </w:tc>
        <w:tc>
          <w:tcPr>
            <w:tcW w:type="dxa" w:w="2492"/>
          </w:tcPr>
          <w:p>
            <w:pPr>
              <w:pStyle w:val="null3"/>
            </w:pPr>
            <w:r>
              <w:rPr>
                <w:rFonts w:ascii="仿宋_GB2312" w:hAnsi="仿宋_GB2312" w:cs="仿宋_GB2312" w:eastAsia="仿宋_GB2312"/>
              </w:rPr>
              <w:t>根据供应商服务特色及其他增值服务与优惠承诺的合理性、可行性，进行综合评定： ①特色服务丰富，其他优惠承诺合理可行得5分； ②特色服务意义不明确，其他优惠承诺欠缺得3分； ③没有特色服务及其他服务与优惠承诺的不得分。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其他服务与优惠承诺.docx</w:t>
            </w:r>
          </w:p>
        </w:tc>
      </w:tr>
      <w:tr>
        <w:tc>
          <w:tcPr>
            <w:tcW w:type="dxa" w:w="831"/>
            <w:vMerge/>
          </w:tcPr>
          <w:p/>
        </w:tc>
        <w:tc>
          <w:tcPr>
            <w:tcW w:type="dxa" w:w="1661"/>
          </w:tcPr>
          <w:p>
            <w:pPr>
              <w:pStyle w:val="null3"/>
            </w:pPr>
            <w:r>
              <w:rPr>
                <w:rFonts w:ascii="仿宋_GB2312" w:hAnsi="仿宋_GB2312" w:cs="仿宋_GB2312" w:eastAsia="仿宋_GB2312"/>
              </w:rPr>
              <w:t>其他服务与优惠承诺2</w:t>
            </w:r>
          </w:p>
        </w:tc>
        <w:tc>
          <w:tcPr>
            <w:tcW w:type="dxa" w:w="2492"/>
          </w:tcPr>
          <w:p>
            <w:pPr>
              <w:pStyle w:val="null3"/>
            </w:pPr>
            <w:r>
              <w:rPr>
                <w:rFonts w:ascii="仿宋_GB2312" w:hAnsi="仿宋_GB2312" w:cs="仿宋_GB2312" w:eastAsia="仿宋_GB2312"/>
              </w:rPr>
              <w:t>针对本项目招标人保险服务需求的基础上，承诺有一定的经济实力垫付已产生未支付的保险费用的能力： 完全响应并承诺得5分； 不能完全响应得3分； 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其他服务与优惠承诺.docx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2022年7月1日至磋商响应文件截止时间）供应商曾参与过类似服务项目的业绩的情况，须提供合同复印件等证明材料（所提供的合同可以不牵涉到金额等相关商业机密信息，但必须提供合同双方签署页及合同签署双方的完整信息进行评审）。每提供一个有效业绩证明材料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(1-最高下浮率报价)为评标基准价，下浮率最高的报价分为满分。其他供应商的价格分统一按照下列公式计算： 磋商报价得分= (磋商基准价／（1-下浮率报价)）×价格权值（即10%）×100 自主核保系数下浮率的定义：定价10元的产品减到8元为8.0折。折扣=1-系数下浮率，本文件要求投标文件统一用系数下浮率报价和描述。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详见附件：保障范围.docx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详见附件：投诉管理制度.docx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详见附件：客户回访.docx</w:t>
      </w:r>
    </w:p>
    <w:p>
      <w:pPr>
        <w:pStyle w:val="null3"/>
        <w:ind w:firstLine="960"/>
      </w:pPr>
      <w:r>
        <w:rPr>
          <w:rFonts w:ascii="仿宋_GB2312" w:hAnsi="仿宋_GB2312" w:cs="仿宋_GB2312" w:eastAsia="仿宋_GB2312"/>
        </w:rPr>
        <w:t>详见附件：时效保障承诺.docx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详见附件：其他服务与优惠承诺.docx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详见附件：供应商有必要说明的其他事项.docx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详见附件：供应商参与政府采购活动的承诺函.docx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