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版本号：THXZB2025-105620250810001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2023年中央部分农业产业发展及区级配套（国家现代奶山羊人工授精）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THXZB2025-1056</w:t>
      </w:r>
      <w:r>
        <w:br/>
      </w:r>
      <w:r>
        <w:br/>
      </w:r>
      <w:r>
        <w:br/>
      </w:r>
    </w:p>
    <w:p>
      <w:pPr>
        <w:pStyle w:val="null3"/>
        <w:jc w:val="center"/>
        <w:outlineLvl w:val="2"/>
      </w:pPr>
      <w:r>
        <w:rPr>
          <w:rFonts w:ascii="仿宋_GB2312" w:hAnsi="仿宋_GB2312" w:cs="仿宋_GB2312" w:eastAsia="仿宋_GB2312"/>
          <w:sz w:val="28"/>
          <w:b/>
        </w:rPr>
        <w:t>西安市阎良区农业农村和林业局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西安市阎良区农业农村和林业局</w:t>
      </w:r>
      <w:r>
        <w:rPr>
          <w:rFonts w:ascii="仿宋_GB2312" w:hAnsi="仿宋_GB2312" w:cs="仿宋_GB2312" w:eastAsia="仿宋_GB2312"/>
        </w:rPr>
        <w:t>委托，拟对</w:t>
      </w:r>
      <w:r>
        <w:rPr>
          <w:rFonts w:ascii="仿宋_GB2312" w:hAnsi="仿宋_GB2312" w:cs="仿宋_GB2312" w:eastAsia="仿宋_GB2312"/>
        </w:rPr>
        <w:t>2023年中央部分农业产业发展及区级配套（国家现代奶山羊人工授精）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2023年中央部分农业产业发展及区级配套（国家现代奶山羊人工授精）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2023年中央部分农业产业发展及区级配套（国家现代奶山羊人工授精）已引进优质奶山羊种羊200只，通过人工授精技术改良全区10000只奶山羊。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采购包1（2023年中央部分农业产业发展及区级配套（国家现代奶山羊人工授精））：属于专门面向中小企业采购。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p>
      <w:pPr>
        <w:pStyle w:val="null3"/>
      </w:pPr>
      <w:r>
        <w:rPr>
          <w:rFonts w:ascii="仿宋_GB2312" w:hAnsi="仿宋_GB2312" w:cs="仿宋_GB2312" w:eastAsia="仿宋_GB2312"/>
        </w:rPr>
        <w:t>3、中小企业声明函：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4、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西安市阎良区农业农村和林业局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西安市阎良区凤凰东路29号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029-86853599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代理服务费收费标准：照国家发展和改革委员会《招标代理服务收费暂行办法》（计价格〔2002〕1980号）和国家发展改革委（发改价格〔2003〕857号）文件规定计取，以预算金额作为基数，差额累进法进行计算。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西安市阎良区农业农村和林业局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西安市阎良区农业农村和林业局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西安市阎良区农业农村和林业局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联系电话：029-88210791转806</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2023年中央部分农业产业发展及区级配套（国家现代奶山羊人工授精）已引进优质奶山羊种羊200只，通过人工授精技术改良全区10000只奶山羊。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2023年中央部分农业产业发展及区级配套（国家现代奶山羊人工授精）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标的名称：2023年中央部分农业产业发展及区级配套（国家现代奶山羊人工授精）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提供奶山羊种公羊精液采集，检测；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提供奶山羊母羊同期发情技术；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奶山羊人工授精技术服务，全区范围内通过人工授精配种奶山羊</w:t>
            </w:r>
            <w:r>
              <w:rPr>
                <w:rFonts w:ascii="仿宋_GB2312" w:hAnsi="仿宋_GB2312" w:cs="仿宋_GB2312" w:eastAsia="仿宋_GB2312"/>
                <w:sz w:val="21"/>
              </w:rPr>
              <w:t>10000</w:t>
            </w:r>
            <w:r>
              <w:rPr>
                <w:rFonts w:ascii="仿宋_GB2312" w:hAnsi="仿宋_GB2312" w:cs="仿宋_GB2312" w:eastAsia="仿宋_GB2312"/>
                <w:sz w:val="21"/>
              </w:rPr>
              <w:t>只。</w:t>
            </w:r>
          </w:p>
          <w:p>
            <w:pPr>
              <w:pStyle w:val="null3"/>
              <w:jc w:val="both"/>
            </w:pPr>
            <w:r>
              <w:rPr>
                <w:rFonts w:ascii="仿宋_GB2312" w:hAnsi="仿宋_GB2312" w:cs="仿宋_GB2312" w:eastAsia="仿宋_GB2312"/>
                <w:sz w:val="21"/>
              </w:rPr>
              <w:t>二、技术要求</w:t>
            </w:r>
          </w:p>
          <w:p>
            <w:pPr>
              <w:pStyle w:val="null3"/>
              <w:jc w:val="both"/>
            </w:pPr>
            <w:r>
              <w:rPr>
                <w:rFonts w:ascii="仿宋_GB2312" w:hAnsi="仿宋_GB2312" w:cs="仿宋_GB2312" w:eastAsia="仿宋_GB2312"/>
                <w:sz w:val="21"/>
              </w:rPr>
              <w:t>具有奶山羊人工授精工作经验，配备奶山羊采精设施设备，奶山羊受孕率不低于</w:t>
            </w:r>
            <w:r>
              <w:rPr>
                <w:rFonts w:ascii="仿宋_GB2312" w:hAnsi="仿宋_GB2312" w:cs="仿宋_GB2312" w:eastAsia="仿宋_GB2312"/>
                <w:sz w:val="21"/>
              </w:rPr>
              <w:t>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成果交付要求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公羊采精记录和检测记录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母羊配种记录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相关影像资料</w:t>
            </w:r>
          </w:p>
          <w:p>
            <w:pPr>
              <w:pStyle w:val="null3"/>
              <w:jc w:val="both"/>
            </w:pPr>
            <w:r>
              <w:rPr>
                <w:rFonts w:ascii="仿宋_GB2312" w:hAnsi="仿宋_GB2312" w:cs="仿宋_GB2312" w:eastAsia="仿宋_GB2312"/>
                <w:sz w:val="21"/>
              </w:rPr>
              <w:t>四、质量验收标准或规范</w:t>
            </w:r>
          </w:p>
          <w:p>
            <w:pPr>
              <w:pStyle w:val="null3"/>
              <w:jc w:val="both"/>
            </w:pPr>
            <w:r>
              <w:rPr>
                <w:rFonts w:ascii="仿宋_GB2312" w:hAnsi="仿宋_GB2312" w:cs="仿宋_GB2312" w:eastAsia="仿宋_GB2312"/>
                <w:sz w:val="21"/>
              </w:rPr>
              <w:t>参照《奶山羊新鲜精液人工授精技术规范》（</w:t>
            </w:r>
            <w:r>
              <w:rPr>
                <w:rFonts w:ascii="仿宋_GB2312" w:hAnsi="仿宋_GB2312" w:cs="仿宋_GB2312" w:eastAsia="仿宋_GB2312"/>
                <w:sz w:val="21"/>
              </w:rPr>
              <w:t>DB 6103/T 65--2024</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自合同签订之日起2月内。（根据奶山羊发情情况可适当延长一周）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阎良区全区范围内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参照《奶山羊新鲜精液人工授精技术规范》（DB 6103/T 65--2024）</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合同签订后5个工作日支付合同约定金额的</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项目实施阶段完成后5个工作日内支付合同总价款的</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1、本项目属性为 服务 。 2、成交供应商需在领取中标通知书时提供纸质响应文件正本壹份、副本贰份、电子版壹份（U盘壹份）。 3.付款方式：合同签订后5个工作日支付合同约定金额的60%。项目实施阶段完成后5个工作日内支付合同总价款的37%，项目通过验收后支付3%。 4、本项目所属行业为：农、林、牧、渔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磋商响应方案-售后服务.docx 磋商响应方案-应急预案.docx 供应商特定资格证明文件.docx 服务内容及服务邀请应答表 磋商响应方案-服务承诺.docx 中小企业声明函 商务应答表 供应商应提交的相关资格证明材料 报价表 供应商承诺书.docx 响应文件封面 供应商需要说明的其他内容.docx 残疾人福利性单位声明函 服务方案 标的清单 磋商响应方案-人员团队.docx 供应商业绩.docx 磋商响应方案-管理措施及管理制度.docx 响应函 监狱企业的证明文件 磋商响应方案-整体服务方案.docx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磋商响应方案-售后服务.docx 磋商响应方案-应急预案.docx 供应商特定资格证明文件.docx 服务内容及服务邀请应答表 磋商响应方案-服务承诺.docx 中小企业声明函 商务应答表 供应商应提交的相关资格证明材料 报价表 供应商承诺书.docx 响应文件封面 供应商需要说明的其他内容.docx 残疾人福利性单位声明函 服务方案 标的清单 磋商响应方案-人员团队.docx 供应商业绩.docx 磋商响应方案-管理措施及管理制度.docx 响应函 监狱企业的证明文件 磋商响应方案-整体服务方案.docx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磋商响应方案-售后服务.docx 磋商响应方案-应急预案.docx 供应商特定资格证明文件.docx 服务内容及服务邀请应答表 磋商响应方案-服务承诺.docx 中小企业声明函 商务应答表 供应商应提交的相关资格证明材料 报价表 供应商承诺书.docx 响应文件封面 供应商需要说明的其他内容.docx 残疾人福利性单位声明函 服务方案 标的清单 磋商响应方案-人员团队.docx 供应商业绩.docx 磋商响应方案-管理措施及管理制度.docx 响应函 监狱企业的证明文件 磋商响应方案-整体服务方案.docx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磋商响应方案-售后服务.docx 磋商响应方案-应急预案.docx 供应商特定资格证明文件.docx 服务内容及服务邀请应答表 磋商响应方案-服务承诺.docx 中小企业声明函 商务应答表 供应商应提交的相关资格证明材料 报价表 供应商承诺书.docx 响应文件封面 供应商需要说明的其他内容.docx 残疾人福利性单位声明函 服务方案 标的清单 磋商响应方案-人员团队.docx 供应商业绩.docx 磋商响应方案-管理措施及管理制度.docx 响应函 监狱企业的证明文件 磋商响应方案-整体服务方案.docx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磋商响应方案-售后服务.docx 磋商响应方案-应急预案.docx 供应商特定资格证明文件.docx 服务内容及服务邀请应答表 磋商响应方案-服务承诺.docx 中小企业声明函 商务应答表 供应商应提交的相关资格证明材料 报价表 供应商承诺书.docx 响应文件封面 供应商需要说明的其他内容.docx 残疾人福利性单位声明函 服务方案 标的清单 磋商响应方案-人员团队.docx 供应商业绩.docx 磋商响应方案-管理措施及管理制度.docx 响应函 监狱企业的证明文件 磋商响应方案-整体服务方案.docx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磋商响应方案-售后服务.docx 磋商响应方案-应急预案.docx 供应商特定资格证明文件.docx 服务内容及服务邀请应答表 磋商响应方案-服务承诺.docx 中小企业声明函 商务应答表 供应商应提交的相关资格证明材料 报价表 供应商承诺书.docx 响应文件封面 供应商需要说明的其他内容.docx 残疾人福利性单位声明函 服务方案 标的清单 磋商响应方案-人员团队.docx 供应商业绩.docx 磋商响应方案-管理措施及管理制度.docx 响应函 监狱企业的证明文件 磋商响应方案-整体服务方案.docx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磋商响应方案-售后服务.docx 磋商响应方案-应急预案.docx 供应商特定资格证明文件.docx 服务内容及服务邀请应答表 磋商响应方案-服务承诺.docx 中小企业声明函 商务应答表 供应商应提交的相关资格证明材料 报价表 供应商承诺书.docx 响应文件封面 供应商需要说明的其他内容.docx 残疾人福利性单位声明函 服务方案 标的清单 磋商响应方案-人员团队.docx 供应商业绩.docx 磋商响应方案-管理措施及管理制度.docx 响应函 监狱企业的证明文件 磋商响应方案-整体服务方案.docx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1.供应商业绩</w:t>
            </w:r>
          </w:p>
        </w:tc>
        <w:tc>
          <w:tcPr>
            <w:tcW w:type="dxa" w:w="2492"/>
          </w:tcPr>
          <w:p>
            <w:pPr>
              <w:pStyle w:val="null3"/>
            </w:pPr>
            <w:r>
              <w:rPr>
                <w:rFonts w:ascii="仿宋_GB2312" w:hAnsi="仿宋_GB2312" w:cs="仿宋_GB2312" w:eastAsia="仿宋_GB2312"/>
              </w:rPr>
              <w:t>供应商提供2022年8月1日至今类似项目业绩，以合同签订时间为准，每提供一份合同计2.5分，最高计5分。（须提供完整合同复印件并加盖供应商公章，否则不计分）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vMerge/>
          </w:tcPr>
          <w:p/>
        </w:tc>
        <w:tc>
          <w:tcPr>
            <w:tcW w:type="dxa" w:w="1661"/>
          </w:tcPr>
          <w:p>
            <w:pPr>
              <w:pStyle w:val="null3"/>
            </w:pPr>
            <w:r>
              <w:rPr>
                <w:rFonts w:ascii="仿宋_GB2312" w:hAnsi="仿宋_GB2312" w:cs="仿宋_GB2312" w:eastAsia="仿宋_GB2312"/>
              </w:rPr>
              <w:t>2.售后服务</w:t>
            </w:r>
          </w:p>
        </w:tc>
        <w:tc>
          <w:tcPr>
            <w:tcW w:type="dxa" w:w="2492"/>
          </w:tcPr>
          <w:p>
            <w:pPr>
              <w:pStyle w:val="null3"/>
            </w:pPr>
            <w:r>
              <w:rPr>
                <w:rFonts w:ascii="仿宋_GB2312" w:hAnsi="仿宋_GB2312" w:cs="仿宋_GB2312" w:eastAsia="仿宋_GB2312"/>
              </w:rPr>
              <w:t>供应商针对本项目提供售后服务方案，包括但不限于：①售后服务人员配置、②响应时间、③服务后特殊情况应对措施、④服务后相应保障措施。 a.售后服务方案全面具体、科学合理、可行性强的得10分； b.售后服务方案基本全面、基本合理、基本可行的得7分； c.售后服务方案缺少关键点、不完善、不可行性的得4分； d.未提供售后服务方案或完全脱离项目实际的得0分。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vMerge/>
          </w:tcPr>
          <w:p/>
        </w:tc>
        <w:tc>
          <w:tcPr>
            <w:tcW w:type="dxa" w:w="1661"/>
          </w:tcPr>
          <w:p>
            <w:pPr>
              <w:pStyle w:val="null3"/>
            </w:pPr>
            <w:r>
              <w:rPr>
                <w:rFonts w:ascii="仿宋_GB2312" w:hAnsi="仿宋_GB2312" w:cs="仿宋_GB2312" w:eastAsia="仿宋_GB2312"/>
              </w:rPr>
              <w:t>3.服务承诺</w:t>
            </w:r>
          </w:p>
        </w:tc>
        <w:tc>
          <w:tcPr>
            <w:tcW w:type="dxa" w:w="2492"/>
          </w:tcPr>
          <w:p>
            <w:pPr>
              <w:pStyle w:val="null3"/>
            </w:pPr>
            <w:r>
              <w:rPr>
                <w:rFonts w:ascii="仿宋_GB2312" w:hAnsi="仿宋_GB2312" w:cs="仿宋_GB2312" w:eastAsia="仿宋_GB2312"/>
              </w:rPr>
              <w:t>供应商针对本项目提供服务承诺，包含但不限于：①承诺派专人负责项目售后服务事宜②处理问题及时、沟通交流渠道畅通、③因存在技术问题发生安全事故，相关主管人员必须到现场指导、处理、④在履行本项目的全部过程中，凡出现因技术问题引发的安全事故，供应商将承担全部法律责任和赔偿所有经济损失等。 a.服务承诺完整、详细，科学、合理、可行的得10分； b.服务承诺较完整、详细，合理性，可行性一般的得7分； c.服务承诺不够完整，可行性不高的计4分； d.未提供服务承诺或完全脱离项目实际的得0分。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4.整体服务方案</w:t>
            </w:r>
          </w:p>
        </w:tc>
        <w:tc>
          <w:tcPr>
            <w:tcW w:type="dxa" w:w="2492"/>
          </w:tcPr>
          <w:p>
            <w:pPr>
              <w:pStyle w:val="null3"/>
            </w:pPr>
            <w:r>
              <w:rPr>
                <w:rFonts w:ascii="仿宋_GB2312" w:hAnsi="仿宋_GB2312" w:cs="仿宋_GB2312" w:eastAsia="仿宋_GB2312"/>
              </w:rPr>
              <w:t>供应商针对本项目服务内容及要求提供整体服务方案，包含但不限于：①服务理念及目标、②服务流程、③组织机构、④质量标准、⑤验收方案等。 a.服务方案全面具体、针对性强、质量标准明确、可操作及可行性强、能完全满足本项目采购所需的得30分； b.服务方案较为全面、针对性较好、质量标准较明确、可操作及可行性良好、能确保采购所需的得25分； c.服务方案不全面、针对性一般、质量标准不够明确、可操作及可行性一般，需优化后能满足基本采购所需的得20分； d.服务方案简单有漏项、无针对性、无质量标准或质量标准不明确、可操作及可行性差，不能满足采购所需的得15分； e.未提供整体服务方案或整体服务方案完全脱离项目实际的得0分。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磋商响应方案-整体服务方案.docx</w:t>
            </w:r>
          </w:p>
        </w:tc>
      </w:tr>
      <w:tr>
        <w:tc>
          <w:tcPr>
            <w:tcW w:type="dxa" w:w="831"/>
            <w:vMerge/>
          </w:tcPr>
          <w:p/>
        </w:tc>
        <w:tc>
          <w:tcPr>
            <w:tcW w:type="dxa" w:w="1661"/>
          </w:tcPr>
          <w:p>
            <w:pPr>
              <w:pStyle w:val="null3"/>
            </w:pPr>
            <w:r>
              <w:rPr>
                <w:rFonts w:ascii="仿宋_GB2312" w:hAnsi="仿宋_GB2312" w:cs="仿宋_GB2312" w:eastAsia="仿宋_GB2312"/>
              </w:rPr>
              <w:t>5.管理措施及管理制度</w:t>
            </w:r>
          </w:p>
        </w:tc>
        <w:tc>
          <w:tcPr>
            <w:tcW w:type="dxa" w:w="2492"/>
          </w:tcPr>
          <w:p>
            <w:pPr>
              <w:pStyle w:val="null3"/>
            </w:pPr>
            <w:r>
              <w:rPr>
                <w:rFonts w:ascii="仿宋_GB2312" w:hAnsi="仿宋_GB2312" w:cs="仿宋_GB2312" w:eastAsia="仿宋_GB2312"/>
              </w:rPr>
              <w:t>供应商针对本项目提供管理制度，包含但不限于：①岗位制度及职责、②内控制度、③安全制度、④防疫安全管理制度等。 a.制度及措施完整全面、科学合理、针对性强、可操作及可行性高，完全满足采购要求的10分； b.制度及措施较为全面、具有一定的合理性、可操作及可行性良好，较能满足采购所需的得8分； c.制度及措施不全面、合理性、针对性一般，可操作及可行性一般，需优化后能满足基本采购所需的得6分； d.制度及措施简单有漏项、无合理性、针对性，不能满足采购所需的得4分； e.未提供制度及措施或制度及措施完全脱离采购实际的得0分。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磋商响应方案-管理措施及管理制度.docx</w:t>
            </w:r>
          </w:p>
        </w:tc>
      </w:tr>
      <w:tr>
        <w:tc>
          <w:tcPr>
            <w:tcW w:type="dxa" w:w="831"/>
            <w:vMerge/>
          </w:tcPr>
          <w:p/>
        </w:tc>
        <w:tc>
          <w:tcPr>
            <w:tcW w:type="dxa" w:w="1661"/>
          </w:tcPr>
          <w:p>
            <w:pPr>
              <w:pStyle w:val="null3"/>
            </w:pPr>
            <w:r>
              <w:rPr>
                <w:rFonts w:ascii="仿宋_GB2312" w:hAnsi="仿宋_GB2312" w:cs="仿宋_GB2312" w:eastAsia="仿宋_GB2312"/>
              </w:rPr>
              <w:t>6.人员团队</w:t>
            </w:r>
          </w:p>
        </w:tc>
        <w:tc>
          <w:tcPr>
            <w:tcW w:type="dxa" w:w="2492"/>
          </w:tcPr>
          <w:p>
            <w:pPr>
              <w:pStyle w:val="null3"/>
            </w:pPr>
            <w:r>
              <w:rPr>
                <w:rFonts w:ascii="仿宋_GB2312" w:hAnsi="仿宋_GB2312" w:cs="仿宋_GB2312" w:eastAsia="仿宋_GB2312"/>
              </w:rPr>
              <w:t>供应商针对本项目拟投入的人员团队配置，须提供人员身份证、健康证、劳动合同或社保证明材料。 每提供一个合法有效的人员信息及证明材料计2分，最高得10分。未提供证明材料或证明材料不全不计分。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磋商响应方案-人员团队.docx</w:t>
            </w:r>
          </w:p>
        </w:tc>
      </w:tr>
      <w:tr>
        <w:tc>
          <w:tcPr>
            <w:tcW w:type="dxa" w:w="831"/>
            <w:vMerge/>
          </w:tcPr>
          <w:p/>
        </w:tc>
        <w:tc>
          <w:tcPr>
            <w:tcW w:type="dxa" w:w="1661"/>
          </w:tcPr>
          <w:p>
            <w:pPr>
              <w:pStyle w:val="null3"/>
            </w:pPr>
            <w:r>
              <w:rPr>
                <w:rFonts w:ascii="仿宋_GB2312" w:hAnsi="仿宋_GB2312" w:cs="仿宋_GB2312" w:eastAsia="仿宋_GB2312"/>
              </w:rPr>
              <w:t>7.应急预案</w:t>
            </w:r>
          </w:p>
        </w:tc>
        <w:tc>
          <w:tcPr>
            <w:tcW w:type="dxa" w:w="2492"/>
          </w:tcPr>
          <w:p>
            <w:pPr>
              <w:pStyle w:val="null3"/>
            </w:pPr>
            <w:r>
              <w:rPr>
                <w:rFonts w:ascii="仿宋_GB2312" w:hAnsi="仿宋_GB2312" w:cs="仿宋_GB2312" w:eastAsia="仿宋_GB2312"/>
              </w:rPr>
              <w:t>供应商针对本项目提供具体的应急预案，包括但不限于：①针对奶山羊应激反应、②输精器械损伤生殖道的情况、③精液异常情况、④母羊过敏反应、⑤母羊妊娠后流产等应对方案等。 a.应急预案完备健全，科学性强、合理性强、可行性强的计15分； b.应急预案完备程度一般，方案合理性一般、可行性低或需要优化后才能基本满足项目需要的计10分； c..应急预案不完整，措施简单，无针对性，不能满足项目需求计8分； d.未提供应急措施或应急措施完全脱离项目实际的得0分。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磋商响应方案-应急预案.docx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采用低价（即：1-优惠率）优先法计算，即满足磋商文件要求且磋商报价（1-优惠率）最低的磋商报价为评标基准价，其价格分为满分。 其他供应商的价格分统一按照下列公式计算： 磋商报价得分=评标基准价/（1-优惠率）×10 当评审小组认为某个供应商的报价明显低于其他通过符合性审查供应商的报价，有可能影响服务质量和不能诚信履约的，应要求该供应商在开标现场合理的时间内提供书面说明，必要时提交相关证明材料；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详见附件：磋商响应方案-整体服务方案.docx</w:t>
      </w:r>
    </w:p>
    <w:p>
      <w:pPr>
        <w:pStyle w:val="null3"/>
        <w:ind w:firstLine="960"/>
      </w:pPr>
      <w:r>
        <w:rPr>
          <w:rFonts w:ascii="仿宋_GB2312" w:hAnsi="仿宋_GB2312" w:cs="仿宋_GB2312" w:eastAsia="仿宋_GB2312"/>
        </w:rPr>
        <w:t>详见附件：磋商响应方案-管理措施及管理制度.docx</w:t>
      </w:r>
    </w:p>
    <w:p>
      <w:pPr>
        <w:pStyle w:val="null3"/>
        <w:ind w:firstLine="960"/>
      </w:pPr>
      <w:r>
        <w:rPr>
          <w:rFonts w:ascii="仿宋_GB2312" w:hAnsi="仿宋_GB2312" w:cs="仿宋_GB2312" w:eastAsia="仿宋_GB2312"/>
        </w:rPr>
        <w:t>详见附件：磋商响应方案-人员团队.docx</w:t>
      </w:r>
    </w:p>
    <w:p>
      <w:pPr>
        <w:pStyle w:val="null3"/>
        <w:ind w:firstLine="960"/>
      </w:pPr>
      <w:r>
        <w:rPr>
          <w:rFonts w:ascii="仿宋_GB2312" w:hAnsi="仿宋_GB2312" w:cs="仿宋_GB2312" w:eastAsia="仿宋_GB2312"/>
        </w:rPr>
        <w:t>详见附件：磋商响应方案-应急预案.docx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