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版本号：YHZB2025-J-02920250904001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阎良区规划技术审查服务采购项目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YHZB2025-J-029</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阎良区规划技术审查服务采购项目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YHZB2025-J-029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阎良区规划技术审查服务采购项目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根据西安市自然资源和规划局阎良分局规划技术审查服务实施方案，为采购人提供建设工程设计方案技术审查、实施详细规划成果技术审查及公示牌小样制作服务。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采购包1（规划技术审查服务）：属于专门面向中小企业采购。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2024年度经审计的财务报告，或其基本存款账户开户银行近三个月内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3、社保资金缴纳证明：提交投标文件截止时间前六个月内至少一个月的社会保障资金缴存单据或社保机构开具的社会保险参保缴费情况证明，单据或证明上应有社保机构或代收机构的公章或业务专用章。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4、税收缴纳证明：提交投标文件截止时间前六个月内至少一个月的纳税证明或完税证明，纳税证明或完税证明上应有代收机构或税务机关的公章或业务专用章。</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w:t>
      </w:r>
    </w:p>
    <w:p>
      <w:pPr>
        <w:pStyle w:val="null3"/>
      </w:pPr>
      <w:r>
        <w:rPr>
          <w:rFonts w:ascii="仿宋_GB2312" w:hAnsi="仿宋_GB2312" w:cs="仿宋_GB2312" w:eastAsia="仿宋_GB2312"/>
        </w:rPr>
        <w:t>6、具有履行合同所必需的设备和专业技术能力：提供具有履行本合同所必需的设备和专业技术能力的书面声明原件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7、提供法定代表人授权委托书或法定代表人身份证明：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8、特殊资质：具有行政主管部门颁发的城乡规划编制乙级及以上资质</w:t>
      </w:r>
    </w:p>
    <w:p>
      <w:pPr>
        <w:pStyle w:val="null3"/>
      </w:pPr>
      <w:r>
        <w:rPr>
          <w:rFonts w:ascii="仿宋_GB2312" w:hAnsi="仿宋_GB2312" w:cs="仿宋_GB2312" w:eastAsia="仿宋_GB2312"/>
        </w:rPr>
        <w:t>9、信用记录审查：供应商未被“信用中国”网站（www.creditchina.gov.cn）列入失信被执行人和重大税收违法失信主体，未被中国政府采购网（www.ccgp.gov.cn）列入政府采购严重违法失信行为记录名单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陕西省西安市灞桥区沁水路88号草北社区办公楼二楼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陈娟 晁曼 张黛娣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领取成交结果通知书时，由成交单位按国家计委颁发的《招标代理服务收费管理暂行办法》（计价格[2002]1980号）、国家发展改革委员会办公厅颁发的《关于招标代理服务收费有关问题的通知》（发改办价格〔2003〕857号）规定，向采购代理机构一次支付招标代理服务费。 开户名称：陕西远华招标有限公司 开户行名称：西安银行股份有限公司纺织城支行 帐 号：381011580000091472 （提交代理服务费时，请标明项目名称、编号、事由）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联系人：陈娟</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地址：西安市灞桥区沁水路88号草北社区办公楼二楼</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根据西安市自然资源和规划局阎良分局规划技术审查服务实施方案，为采购人提供建设工程设计方案技术审查、实施详细规划成果技术审查及公示牌小样制作服务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阎良区规划技术审查服务采购项目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标的名称：阎良区规划技术审查服务采购项目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18"/>
                <w:b/>
              </w:rPr>
              <w:t>一、项目概况</w:t>
            </w:r>
          </w:p>
          <w:p>
            <w:pPr>
              <w:pStyle w:val="null3"/>
              <w:ind w:firstLine="560"/>
              <w:jc w:val="both"/>
            </w:pPr>
            <w:r>
              <w:rPr>
                <w:rFonts w:ascii="仿宋_GB2312" w:hAnsi="仿宋_GB2312" w:cs="仿宋_GB2312" w:eastAsia="仿宋_GB2312"/>
                <w:sz w:val="18"/>
              </w:rPr>
              <w:t>2020年5月26日，西安市人民政府办公厅印发《转发市资源规划局关于进一步规范资源规划“一书三证”管理实施办法的通知》（市政办发〔2020〕13号，以下简称“新办法”），6月28日西安市资源规划局根据新办法制定了《“一书三证”管理实施细则》，对《建设工程规划许可证》核发，要求参考《建设工程设计方案技术审查意见书》核发。同时，在全市“一书三证”审批系统中将规划技术服务机构出具的《建设工程设计方案技术审查意见书》作为《建设工程规划许可证》核发必备要件。</w:t>
            </w:r>
          </w:p>
          <w:p>
            <w:pPr>
              <w:pStyle w:val="null3"/>
              <w:ind w:firstLine="560"/>
              <w:jc w:val="both"/>
            </w:pPr>
            <w:r>
              <w:rPr>
                <w:rFonts w:ascii="仿宋_GB2312" w:hAnsi="仿宋_GB2312" w:cs="仿宋_GB2312" w:eastAsia="仿宋_GB2312"/>
                <w:sz w:val="18"/>
              </w:rPr>
              <w:t>2024年7月19日，西安市人民政府办公厅关于印发《西安市国土空间城镇开发边界内详细规划编制审批管理实施监督暂行规定的通知》（市政办发〔2024〕36 号）要求，单元详细规划管控一张图在提请市人民政府审定前应履行规划成果自检、技术审查和行政审查程序。技术审查由市资源规划局委托第三方专业机构组织实施，对规划编制成果进行审查，出具技术审查报告。</w:t>
            </w:r>
          </w:p>
          <w:p>
            <w:pPr>
              <w:pStyle w:val="null3"/>
              <w:ind w:firstLine="560"/>
              <w:jc w:val="both"/>
            </w:pPr>
            <w:r>
              <w:rPr>
                <w:rFonts w:ascii="仿宋_GB2312" w:hAnsi="仿宋_GB2312" w:cs="仿宋_GB2312" w:eastAsia="仿宋_GB2312"/>
                <w:sz w:val="18"/>
              </w:rPr>
              <w:t>2024年4月10日印发《陕西省自然资源厅关于进一步强化规划许可规范规划实施监督管理的意见》（陕自然资发〔2024〕75 号），要求严格把握规划许可总体要求，核发《建设工程规划许可证》前自然资源主管部门应依法对建设工程设计方案的总平面图予以批前公示。按照《自然资源领域基层政务公开标准指引》规定，规划许可证核发部门应当，除涉密项目外，在作出规划许可行政决定之日起7 个工作日内通过适当方式向社会公开。</w:t>
            </w:r>
          </w:p>
          <w:p>
            <w:pPr>
              <w:pStyle w:val="null3"/>
              <w:ind w:firstLine="560"/>
              <w:jc w:val="both"/>
            </w:pPr>
            <w:r>
              <w:rPr>
                <w:rFonts w:ascii="仿宋_GB2312" w:hAnsi="仿宋_GB2312" w:cs="仿宋_GB2312" w:eastAsia="仿宋_GB2312"/>
                <w:sz w:val="18"/>
              </w:rPr>
              <w:t>综上，需开展2025年度阎良区</w:t>
            </w:r>
            <w:r>
              <w:rPr>
                <w:rFonts w:ascii="仿宋_GB2312" w:hAnsi="仿宋_GB2312" w:cs="仿宋_GB2312" w:eastAsia="仿宋_GB2312"/>
                <w:sz w:val="18"/>
              </w:rPr>
              <w:t>建设工程设计方案技术审查、实施详细规划成果技术审查及公示牌小样制作服务。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jc w:val="both"/>
            </w:pPr>
            <w:r>
              <w:rPr>
                <w:rFonts w:ascii="仿宋_GB2312" w:hAnsi="仿宋_GB2312" w:cs="仿宋_GB2312" w:eastAsia="仿宋_GB2312"/>
                <w:sz w:val="18"/>
                <w:b/>
              </w:rPr>
              <w:t>二、服务内容</w:t>
            </w:r>
          </w:p>
          <w:p>
            <w:pPr>
              <w:pStyle w:val="null3"/>
              <w:ind w:firstLine="560"/>
              <w:jc w:val="both"/>
            </w:pPr>
            <w:r>
              <w:rPr>
                <w:rFonts w:ascii="仿宋_GB2312" w:hAnsi="仿宋_GB2312" w:cs="仿宋_GB2312" w:eastAsia="仿宋_GB2312"/>
                <w:sz w:val="18"/>
              </w:rPr>
              <w:t>（一）工作内容</w:t>
            </w:r>
          </w:p>
          <w:p>
            <w:pPr>
              <w:pStyle w:val="null3"/>
              <w:ind w:firstLine="560"/>
              <w:jc w:val="both"/>
            </w:pPr>
            <w:r>
              <w:rPr>
                <w:rFonts w:ascii="仿宋_GB2312" w:hAnsi="仿宋_GB2312" w:cs="仿宋_GB2312" w:eastAsia="仿宋_GB2312"/>
                <w:sz w:val="18"/>
              </w:rPr>
              <w:t>1、提供建设工程设计方案技术审查服务。主要包括两方面内容：一是建筑工程设计方案技术审查，对建筑性质、各项经济技术指标、退距、间距、限高、公建配套设施、公共服务设施等内容进行审查；二是日照分析审查，在现场踏勘的基础上，对建设单位提供的日照分析结果进行技术审查。</w:t>
            </w:r>
          </w:p>
          <w:p>
            <w:pPr>
              <w:pStyle w:val="null3"/>
              <w:ind w:firstLine="560"/>
              <w:jc w:val="both"/>
            </w:pPr>
            <w:r>
              <w:rPr>
                <w:rFonts w:ascii="仿宋_GB2312" w:hAnsi="仿宋_GB2312" w:cs="仿宋_GB2312" w:eastAsia="仿宋_GB2312"/>
                <w:sz w:val="18"/>
              </w:rPr>
              <w:t>2、实施详细规划成果技术审查。对规划成果开展技术审查，包括成果规范性审查、上位规划符合性审查、技术标准符合性审查、合理性审查，其中规范性审查主要审查规划成果构成是否完整，成果文件的图面表达及内容规范性、图数文一致性等。上位规划符合性审查主要审查否落实上位规划传导的控制线、用地、设施、指标等。技术标准符合性审查主要审查经济技术指标、地块控制指标、配套设施、交通组织、地下空间、城市设计、建筑控制线等内容的符合性。合理性审查主要审查方案合理性、实施可行性等内容。</w:t>
            </w:r>
          </w:p>
          <w:p>
            <w:pPr>
              <w:pStyle w:val="null3"/>
              <w:ind w:firstLine="560"/>
              <w:jc w:val="both"/>
            </w:pPr>
            <w:r>
              <w:rPr>
                <w:rFonts w:ascii="仿宋_GB2312" w:hAnsi="仿宋_GB2312" w:cs="仿宋_GB2312" w:eastAsia="仿宋_GB2312"/>
                <w:sz w:val="18"/>
              </w:rPr>
              <w:t>3、公示牌小样制作服务。包括地块实施详细规划、规划条件、建设工程规划许可、日照等公示牌小样的制作。</w:t>
            </w:r>
          </w:p>
          <w:p>
            <w:pPr>
              <w:pStyle w:val="null3"/>
              <w:ind w:firstLine="560"/>
              <w:jc w:val="both"/>
            </w:pPr>
            <w:r>
              <w:rPr>
                <w:rFonts w:ascii="仿宋_GB2312" w:hAnsi="仿宋_GB2312" w:cs="仿宋_GB2312" w:eastAsia="仿宋_GB2312"/>
                <w:sz w:val="18"/>
              </w:rPr>
              <w:t>（二）工作成果</w:t>
            </w:r>
          </w:p>
          <w:p>
            <w:pPr>
              <w:pStyle w:val="null3"/>
              <w:ind w:firstLine="560"/>
              <w:jc w:val="both"/>
            </w:pPr>
            <w:r>
              <w:rPr>
                <w:rFonts w:ascii="仿宋_GB2312" w:hAnsi="仿宋_GB2312" w:cs="仿宋_GB2312" w:eastAsia="仿宋_GB2312"/>
                <w:sz w:val="18"/>
              </w:rPr>
              <w:t>1、建设工程设计方案技术审查成果：《建设工程设计方案技术审查意见书》。</w:t>
            </w:r>
          </w:p>
          <w:p>
            <w:pPr>
              <w:pStyle w:val="null3"/>
              <w:ind w:firstLine="560"/>
              <w:jc w:val="both"/>
            </w:pPr>
            <w:r>
              <w:rPr>
                <w:rFonts w:ascii="仿宋_GB2312" w:hAnsi="仿宋_GB2312" w:cs="仿宋_GB2312" w:eastAsia="仿宋_GB2312"/>
                <w:sz w:val="18"/>
              </w:rPr>
              <w:t>2、实施详细规划成果技术审查：《实施详细规划成果技术审查报告》。</w:t>
            </w:r>
          </w:p>
          <w:p>
            <w:pPr>
              <w:pStyle w:val="null3"/>
              <w:ind w:firstLine="560"/>
              <w:jc w:val="both"/>
            </w:pPr>
            <w:r>
              <w:rPr>
                <w:rFonts w:ascii="仿宋_GB2312" w:hAnsi="仿宋_GB2312" w:cs="仿宋_GB2312" w:eastAsia="仿宋_GB2312"/>
                <w:sz w:val="18"/>
              </w:rPr>
              <w:t>3、公示牌小样制作：公示牌电子版小样。</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jc w:val="both"/>
            </w:pPr>
            <w:r>
              <w:rPr>
                <w:rFonts w:ascii="仿宋_GB2312" w:hAnsi="仿宋_GB2312" w:cs="仿宋_GB2312" w:eastAsia="仿宋_GB2312"/>
                <w:sz w:val="18"/>
                <w:b/>
              </w:rPr>
              <w:t>三、技术要求</w:t>
            </w:r>
          </w:p>
          <w:p>
            <w:pPr>
              <w:pStyle w:val="null3"/>
              <w:ind w:firstLine="480"/>
              <w:jc w:val="both"/>
            </w:pPr>
            <w:r>
              <w:rPr>
                <w:rFonts w:ascii="仿宋_GB2312" w:hAnsi="仿宋_GB2312" w:cs="仿宋_GB2312" w:eastAsia="仿宋_GB2312"/>
                <w:sz w:val="18"/>
              </w:rPr>
              <w:t>1、智能审查要求。采用智能机审辅以人工审查的方式开展建设工程设计方案技术审查。</w:t>
            </w:r>
          </w:p>
          <w:p>
            <w:pPr>
              <w:pStyle w:val="null3"/>
              <w:ind w:firstLine="480"/>
              <w:jc w:val="both"/>
            </w:pPr>
            <w:r>
              <w:rPr>
                <w:rFonts w:ascii="仿宋_GB2312" w:hAnsi="仿宋_GB2312" w:cs="仿宋_GB2312" w:eastAsia="仿宋_GB2312"/>
                <w:sz w:val="18"/>
              </w:rPr>
              <w:t>2、全程网办要求。在“西安市建设工程设计方案技术审查系统”平台上开展全过程建设工程设计方案技术审查工作，包括资料受理、审查资料流转、审查成果出具，满足不见面、无纸化审查工作要求。</w:t>
            </w:r>
          </w:p>
          <w:p>
            <w:pPr>
              <w:pStyle w:val="null3"/>
              <w:ind w:firstLine="480"/>
              <w:jc w:val="both"/>
            </w:pPr>
            <w:r>
              <w:rPr>
                <w:rFonts w:ascii="仿宋_GB2312" w:hAnsi="仿宋_GB2312" w:cs="仿宋_GB2312" w:eastAsia="仿宋_GB2312"/>
                <w:sz w:val="18"/>
              </w:rPr>
              <w:t>3、成果加密要求。按指定格式，对审查完成的建设工程设计方案（包括总图、单体图）进行加密。</w:t>
            </w:r>
          </w:p>
          <w:p>
            <w:pPr>
              <w:pStyle w:val="null3"/>
              <w:ind w:firstLine="480"/>
              <w:jc w:val="both"/>
            </w:pPr>
            <w:r>
              <w:rPr>
                <w:rFonts w:ascii="仿宋_GB2312" w:hAnsi="仿宋_GB2312" w:cs="仿宋_GB2312" w:eastAsia="仿宋_GB2312"/>
                <w:sz w:val="18"/>
              </w:rPr>
              <w:t>4、成果交付要求。用地合规性审查完成出具用地合规性审查意见；建设工程设计方案技术审查完成出具《建设工程设计方案技术审查意见书》、《日照分析报告复核意见书》；实施详细规划成果技术审查完成出具《实施详细规划成果技术审查报告》；公示牌小样制作完成出具公示牌电子小样。</w:t>
            </w:r>
          </w:p>
          <w:p>
            <w:pPr>
              <w:pStyle w:val="null3"/>
              <w:ind w:firstLine="480"/>
              <w:jc w:val="both"/>
            </w:pPr>
            <w:r>
              <w:rPr>
                <w:rFonts w:ascii="仿宋_GB2312" w:hAnsi="仿宋_GB2312" w:cs="仿宋_GB2312" w:eastAsia="仿宋_GB2312"/>
                <w:sz w:val="18"/>
              </w:rPr>
              <w:t>5、审查时效要求。建设工程设计方案技术审查意见3个工作日内出具，特殊事项当日出具；实施详细规划成果技术审查意见一个地块3个工作日内出具，公示牌小样1个工作日内出具。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ind w:left="420"/>
              <w:jc w:val="both"/>
            </w:pPr>
            <w:r>
              <w:rPr>
                <w:rFonts w:ascii="仿宋_GB2312" w:hAnsi="仿宋_GB2312" w:cs="仿宋_GB2312" w:eastAsia="仿宋_GB2312"/>
                <w:sz w:val="18"/>
                <w:b/>
              </w:rPr>
              <w:t>四、服务要求</w:t>
            </w:r>
          </w:p>
          <w:p>
            <w:pPr>
              <w:pStyle w:val="null3"/>
              <w:ind w:firstLine="560"/>
              <w:jc w:val="both"/>
            </w:pPr>
            <w:r>
              <w:rPr>
                <w:rFonts w:ascii="仿宋_GB2312" w:hAnsi="仿宋_GB2312" w:cs="仿宋_GB2312" w:eastAsia="仿宋_GB2312"/>
                <w:sz w:val="18"/>
              </w:rPr>
              <w:t>1、服务人员应具备本项目所需的行业专业知识，熟悉相关法律法规，并有能力应对咨询及投诉。配置具有规划、建筑、地理信息、开发（系统、软件）专业背景技术团队，分别承担实施详细规划成果技术审查（规划专业、地理信息专业）、合规性审查（规划专业）、总图审查（规划专业）、建筑单体审查（建筑学专业）、数据质检（地理信息专业数据处理工程师）、软件（系统）服务（软件工程、计算机专业）。</w:t>
            </w:r>
          </w:p>
          <w:p>
            <w:pPr>
              <w:pStyle w:val="null3"/>
              <w:ind w:firstLine="560"/>
              <w:jc w:val="both"/>
            </w:pPr>
            <w:r>
              <w:rPr>
                <w:rFonts w:ascii="仿宋_GB2312" w:hAnsi="仿宋_GB2312" w:cs="仿宋_GB2312" w:eastAsia="仿宋_GB2312"/>
                <w:sz w:val="18"/>
              </w:rPr>
              <w:t>2、配置1人在西安市自然资源和规划局阎良分局开展驻场协助工作。</w:t>
            </w:r>
          </w:p>
          <w:p>
            <w:pPr>
              <w:pStyle w:val="null3"/>
              <w:ind w:firstLine="560"/>
              <w:jc w:val="both"/>
            </w:pPr>
            <w:r>
              <w:rPr>
                <w:rFonts w:ascii="仿宋_GB2312" w:hAnsi="仿宋_GB2312" w:cs="仿宋_GB2312" w:eastAsia="仿宋_GB2312"/>
                <w:sz w:val="18"/>
              </w:rPr>
              <w:t>3、向建设单位、设计单位提供技术审查软件及使用期间的解答。</w:t>
            </w:r>
          </w:p>
          <w:p>
            <w:pPr>
              <w:pStyle w:val="null3"/>
              <w:ind w:firstLine="560"/>
              <w:jc w:val="both"/>
            </w:pPr>
            <w:r>
              <w:rPr>
                <w:rFonts w:ascii="仿宋_GB2312" w:hAnsi="仿宋_GB2312" w:cs="仿宋_GB2312" w:eastAsia="仿宋_GB2312"/>
                <w:sz w:val="18"/>
              </w:rPr>
              <w:t>4、技术审查报告出具后，如遇方案调整，需及时对调整方案重新进行技术审查，直至服务项目通过审批。</w:t>
            </w:r>
          </w:p>
          <w:p>
            <w:pPr>
              <w:pStyle w:val="null3"/>
              <w:ind w:firstLine="560"/>
              <w:jc w:val="both"/>
            </w:pPr>
            <w:r>
              <w:rPr>
                <w:rFonts w:ascii="仿宋_GB2312" w:hAnsi="仿宋_GB2312" w:cs="仿宋_GB2312" w:eastAsia="仿宋_GB2312"/>
                <w:sz w:val="18"/>
              </w:rPr>
              <w:t>5、服务单位具有软件开发及本地化服务能力。</w:t>
            </w:r>
          </w:p>
          <w:p>
            <w:pPr>
              <w:pStyle w:val="null3"/>
              <w:ind w:firstLine="560"/>
              <w:jc w:val="both"/>
            </w:pPr>
            <w:r>
              <w:rPr>
                <w:rFonts w:ascii="仿宋_GB2312" w:hAnsi="仿宋_GB2312" w:cs="仿宋_GB2312" w:eastAsia="仿宋_GB2312"/>
                <w:sz w:val="18"/>
              </w:rPr>
              <w:t>6、组织对重点区域和重要节点项目进行专家评审等技术服务。</w:t>
            </w:r>
          </w:p>
          <w:p>
            <w:pPr>
              <w:pStyle w:val="null3"/>
              <w:ind w:firstLine="560"/>
              <w:jc w:val="both"/>
            </w:pPr>
            <w:r>
              <w:rPr>
                <w:rFonts w:ascii="仿宋_GB2312" w:hAnsi="仿宋_GB2312" w:cs="仿宋_GB2312" w:eastAsia="仿宋_GB2312"/>
                <w:sz w:val="18"/>
              </w:rPr>
              <w:t>7、乙方应确保项目服务人员构成的稳定性，不得随意抽调本项目服务人员。如因特殊原因乙方需调整项目服务人员构成应征得甲方同意。乙方服务人员如有离职、调岗，乙方需向甲方提前1周提供拟替服务人员名单，及时安排符合甲方要求的替换服务人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具备实施本项目所需人员，具体根据竞争性磋商文件服务要求及合同约定执行。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具备实施本项目必须的设备，具体根据竞争性磋商文件服务要求及合同约定执行。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费用组成： 本项目预算由以下三部分组成，总报价仅作为价格评分依据，结算时以实际完成单项服务数量为准。供应商应按竞争性磋商文件要求分别填报总报价及单项报价。 （1）建设工程设计方案技术审查服务费用： 预计建设工程设计方案技术审查约82.6万平方米，建设工程设计方案技术审查采购预算综合单价最高限价0.42元/㎡。 （2）实施详细规划成果技术审查服务费用：暂定实施详细规划成果技术审查16个，单价最高限价20000元/个。 （3）公示牌小样制作服务费用：暂定公示牌小样制作16个，公示牌小样制作单价最高限价800元/个。</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成果文件满足项目规划设计条件以及国家、省、市相关技术标准和管理规定。公示牌小样按照指定格式制作。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每季度根据甲方验收通过的审查成果文件所载实际审查量和招标单价据实进行结算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每季度根据甲方验收通过的审查成果文件所载实际审查量和招标单价据实进行结算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每季度根据甲方验收通过的审查成果文件所载实际审查量和招标单价据实进行结算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每季度根据甲方验收通过的审查成果文件所载实际审查量和招标单价据实进行结算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由于乙方的错误，给甲方造成经济损失时，乙方应及时采取措施予以补救，并视损失大小，减收或免除损失部分的服务费用。（3）给甲方造成损失的，乙方应当及时、足额的赔偿包括但不限于直接损失、间接损失、诉讼费、律师费、保全费、公证费等。 2、解决争议方法（1）在执行本合同中发生的或与本合同有关的争端，双方应通过友好协商解决，经协商在30天内不能达成协议时，则向有管辖权的人民法院提起诉讼。（2）在诉讼期间，本合同应继续履行。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采购标的对应中小企业划分标准所属行业：本项目所属行业为其他未列明行业。具体详见《关于印发中小企业划型标准规定的通知》（工信部联企业[2011]300号）中划分标准。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其基本存款账户开户银行近三个月内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提交投标文件截止时间前六个月内至少一个月的社会保障资金缴存单据或社保机构开具的社会保险参保缴费情况证明，单据或证明上应有社保机构或代收机构的公章或业务专用章。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提交投标文件截止时间前六个月内至少一个月的纳税证明或完税证明，纳税证明或完税证明上应有代收机构或税务机关的公章或业务专用章。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提供法定代表人授权委托书或法定代表人身份证明</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具有行政主管部门颁发的城乡规划编制乙级及以上资质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响应文件的签字、盖章符合竞争性磋商文件要求</w:t>
            </w:r>
          </w:p>
        </w:tc>
        <w:tc>
          <w:tcPr>
            <w:tcW w:type="dxa" w:w="1661"/>
          </w:tcPr>
          <w:p>
            <w:pPr>
              <w:pStyle w:val="null3"/>
            </w:pPr>
            <w:r>
              <w:rPr>
                <w:rFonts w:ascii="仿宋_GB2312" w:hAnsi="仿宋_GB2312" w:cs="仿宋_GB2312" w:eastAsia="仿宋_GB2312"/>
              </w:rPr>
              <w:t>响应文件封面 中小企业声明函 法人授权委托书.docx 响应函 资格证明文件.docx 供应商概况.docx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解读清晰、明确，阎良区规划或政策分析研究情况的理解深度和准确性高，并对阎良区国土空间规划、各类专项规划等现行空间规划状况，阎良区实施详细规划成果技术审查流程和内容、建筑方案设计及审查流程和内容进行分析和评估，得出阎良区建筑方案审查及遗留项目建设工程方案技术审查、实施详细规划成果技术审查核心要素的得 4 分； 对本项目背景的解读较为准确，阎良区规划或政策分析研究情况的理解有一定深度和准确性得 3 分； 对本项目背景的解读基本清晰，阎良区规划或政策分析研究情况的理解有一定基础但深度不足得 2 分； 对本项目背景的解读不够清晰、明确，阎良区规划或政策分析研究情况的理解缺乏深度和准确性的得 1 分； 未提供或理解偏差过大得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对制定的总体工作方案进行评分：全部响应采购要求与技术要求，方案详细、科学合理、健全的审查流程、有完整且可行的智能化信息化审查服务的得5分； 响应采购要求与技术要求，方案详细、科学合理、审查流程合理、有可行的智能化信息化审查服务的得4分； 响应采购要求与技术要求，比较齐全、合理可行得3分； 基本响应采购要求与技术要求得2分； 合理性一般，可行性一般的得1分。 未提供或方案偏差过大得0分。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项目关键性技术、重点难点的解决方案</w:t>
            </w:r>
          </w:p>
        </w:tc>
        <w:tc>
          <w:tcPr>
            <w:tcW w:type="dxa" w:w="2492"/>
          </w:tcPr>
          <w:p>
            <w:pPr>
              <w:pStyle w:val="null3"/>
            </w:pPr>
            <w:r>
              <w:rPr>
                <w:rFonts w:ascii="仿宋_GB2312" w:hAnsi="仿宋_GB2312" w:cs="仿宋_GB2312" w:eastAsia="仿宋_GB2312"/>
              </w:rPr>
              <w:t>根据供应商对本项目的关键性技术、重点难点的解决方案（包括但不限于1.对规划报建技术审查及实施详细规划成果技术审查实施重、难点的认识、理解及分析；2.针对规划报建技术审查及实施详细规划成果技术审查实施重、难点拟定的解决方案；3.智能化审查服务技术突破方案）的合理程度进行综合评审： 针对本项目关键技术、重点、难点的解决方案科学合理、全面、具体、可行性强得5分； 针对本项目关键技术、重点、难点的解决方案科学合理、全面、具体得4分； 针对本项目关键技术、重点、难点的解决方案全面但不具体、可行性一般得3分； 针对本项目关键技术、重点、难点的解决方案全面但不具体、可行性较差得2分； 针对本项目关键技术、重点、难点的解决方案不完善、可行性较差得1分。 未提供或方案偏差过大得0分。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根据供应商对本项目的项目质量方案（包括但不限于各项质量保障措施、服务承诺、针对本项目的特色服务说明）的合理程度进行综合评审： 针对项目全过程所制定保障体系完整，措施具有针对性和可操作性的且能够实施信息化审查的，得3分； 针对项目全过程所制定保障体系较完整，措施较具有针对性和可操作性的，得2分； 针对项目全过程所制定保障体系基本完整，措施基本合理、可行的，得1分。 未提供或方案偏差过大得0分。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现状数据基础</w:t>
            </w:r>
          </w:p>
        </w:tc>
        <w:tc>
          <w:tcPr>
            <w:tcW w:type="dxa" w:w="2492"/>
          </w:tcPr>
          <w:p>
            <w:pPr>
              <w:pStyle w:val="null3"/>
            </w:pPr>
            <w:r>
              <w:rPr>
                <w:rFonts w:ascii="仿宋_GB2312" w:hAnsi="仿宋_GB2312" w:cs="仿宋_GB2312" w:eastAsia="仿宋_GB2312"/>
              </w:rPr>
              <w:t>考核供应商现状空间数据工作基础（包括不限于影像、建筑、公服等）。 （1）影像数据年限连续性在10年以上、数据精度均连续三年为亚米级的，得4分；影像数据年限连续性在5年以上10年以下、数据精度包含亚米级的，得3分；影像数据年限连续性未提供或不足5年，数据精度无法体现或不包含亚米级的得2分，其他情况不得分； （2）建筑空间数据涵盖住宅、商业、办公、工业等建筑类型，数据精度至楼栋且具有建筑高度、建筑基底面积、建筑年代、建筑层数等详细信息的得3分，其他情况不得分； （3）公服设施空间数据涵盖教育、医疗、养老等设施类型，且具有设施四至、学校学位数、医院床位数等详细信息的得3分， 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智能化审查实施方案</w:t>
            </w:r>
          </w:p>
        </w:tc>
        <w:tc>
          <w:tcPr>
            <w:tcW w:type="dxa" w:w="2492"/>
          </w:tcPr>
          <w:p>
            <w:pPr>
              <w:pStyle w:val="null3"/>
            </w:pPr>
            <w:r>
              <w:rPr>
                <w:rFonts w:ascii="仿宋_GB2312" w:hAnsi="仿宋_GB2312" w:cs="仿宋_GB2312" w:eastAsia="仿宋_GB2312"/>
              </w:rPr>
              <w:t>内容至少包括①智能审查全流程设计（覆盖建设工程设计方案、实施详细规划成果技术审查等）；②智能机审与人工审查衔接机制；③与“西安市建设工程设计方案技术审查系统”平台适配方案；④成果加密与交付保障；⑤审查时效保障措施。方案内容全面详细、阐述条理清晰详尽、符合本项目采购需求得 10 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后续技术服务方案及措施</w:t>
            </w:r>
          </w:p>
        </w:tc>
        <w:tc>
          <w:tcPr>
            <w:tcW w:type="dxa" w:w="2492"/>
          </w:tcPr>
          <w:p>
            <w:pPr>
              <w:pStyle w:val="null3"/>
            </w:pPr>
            <w:r>
              <w:rPr>
                <w:rFonts w:ascii="仿宋_GB2312" w:hAnsi="仿宋_GB2312" w:cs="仿宋_GB2312" w:eastAsia="仿宋_GB2312"/>
              </w:rPr>
              <w:t>根据供应商对本项目的售后服务方案、保障、承诺等进行综合评审： 售后服务方案完整、详细，售后服务承诺具体、可行性强，得3分； 售后服务方案较完整、详细，售后服务承诺较详尽、可行性一般，得2分； 售后服务方案不够完整，售后服务承诺较简单，可行性较差，得1分。 未提供或方案偏差过大得0分。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供应商具有自然资源或国土空间等相关领域计算机软件著作权登记证书，每提供1个得1分，最高得5分（注：提供计算机软件著作权登记证书的权利取得方式须为原始取得，否则视为无效证书）。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供应商具有ISO9001质量管理体系认证证书（覆盖的产品和服务须包含计算机软件开发、信息技术服务等）得1分； ISO14001环境管理体系认证证书（须适用于计算机软件开发、信息技术服务及相关管理活动等）得1分； ISO45001职业健康安全管理体系认证证书（须适用于计算机软件开发、信息技术服务及相关管理活动等）得1分。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针对本项目有完善的管理制度，内容包括但不限于①档案管理制度；②风险控制制度等。 以上内容专门针对本项目，完整且符合本项目实际需求的得3分； 针对项目所制定管理制度较完整，基本满足项目需求的，得2分； 针对项目所制定管理制度基本完整，满足项目需求程度一般的，得1分。 未提供或方案偏差过大得0分。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项目总负责人</w:t>
            </w:r>
          </w:p>
        </w:tc>
        <w:tc>
          <w:tcPr>
            <w:tcW w:type="dxa" w:w="2492"/>
          </w:tcPr>
          <w:p>
            <w:pPr>
              <w:pStyle w:val="null3"/>
            </w:pPr>
            <w:r>
              <w:rPr>
                <w:rFonts w:ascii="仿宋_GB2312" w:hAnsi="仿宋_GB2312" w:cs="仿宋_GB2312" w:eastAsia="仿宋_GB2312"/>
              </w:rPr>
              <w:t>拟定项目总负责人具备规划类中级职称的得2分，高级职称的得3分；有国家注册城乡规划师职业资格的，得2分；满分5分（提供项目人员职称证书复印件加盖公章、相关证书复印件加盖公章或中国城市规划协会官方网站截图为评分依据，未提供不得分；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本项目拟派项目负责人简历表.docx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数据专项负责人</w:t>
            </w:r>
          </w:p>
        </w:tc>
        <w:tc>
          <w:tcPr>
            <w:tcW w:type="dxa" w:w="2492"/>
          </w:tcPr>
          <w:p>
            <w:pPr>
              <w:pStyle w:val="null3"/>
            </w:pPr>
            <w:r>
              <w:rPr>
                <w:rFonts w:ascii="仿宋_GB2312" w:hAnsi="仿宋_GB2312" w:cs="仿宋_GB2312" w:eastAsia="仿宋_GB2312"/>
              </w:rPr>
              <w:t>数据负责人为地理信息专业（包括地理信息、测绘）高级工程师得3分，工程师得1.5分，未提供不得分； 数据负责人具备注册测绘师职业资格得2分，未提供不得分。 （注：提供项目人员职称证书复印件加盖公章，未提供不得分；提供的人员须在本单位工作，以提供的近1个月社保证明为准，否则此项不得分。）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项目常驻服务人员</w:t>
            </w:r>
          </w:p>
        </w:tc>
        <w:tc>
          <w:tcPr>
            <w:tcW w:type="dxa" w:w="2492"/>
          </w:tcPr>
          <w:p>
            <w:pPr>
              <w:pStyle w:val="null3"/>
            </w:pPr>
            <w:r>
              <w:rPr>
                <w:rFonts w:ascii="仿宋_GB2312" w:hAnsi="仿宋_GB2312" w:cs="仿宋_GB2312" w:eastAsia="仿宋_GB2312"/>
              </w:rPr>
              <w:t>常驻服务人员1人，具有国家注册城乡规划师、一级建筑师职业资格、高级工程师任意2项得5分，任意1项得2.5分，没有不得分，本项满分5分。（注：提供项目人员职称证书复印件加盖公章，未提供不得分；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拟派项目组成员名单.docx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项目组整体人员配备</w:t>
            </w:r>
          </w:p>
        </w:tc>
        <w:tc>
          <w:tcPr>
            <w:tcW w:type="dxa" w:w="2492"/>
          </w:tcPr>
          <w:p>
            <w:pPr>
              <w:pStyle w:val="null3"/>
            </w:pPr>
            <w:r>
              <w:rPr>
                <w:rFonts w:ascii="仿宋_GB2312" w:hAnsi="仿宋_GB2312" w:cs="仿宋_GB2312" w:eastAsia="仿宋_GB2312"/>
              </w:rPr>
              <w:t>供应商拟投入项目团队人员（不含项目总负责人，数据负责人和常驻服务人员）知识构架全面，专业性强，满足项目需求，分工明确、配置合理，科学合理，总体实力较强，有丰富的类似工作经验。 项目组成员具有城市规划、建筑学、测绘等专业对应国家注册执业资格的，每提供项目组成员的一个国家注册职业资格的得1分，最高得7分。 项目组成员专业（以毕业证为准）涵盖城市规划、人文地理、土地资源管理、地理信息系统、建筑学、风景园林、计算机科学与技术等相关专业，每涵盖上述一个专业得1分，最高得7分； （注：提供项目人员职称证书复印件加盖公章，未提供不得分；提供的人员须在本单位工作，以提供的近1个月社保证明为准，否则此项不得分。）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提供2022年1月1日至今承担过的类似项目业绩（以加盖供应商公章的合同复印件为准，应至少包含合同关键页，合同上必须明确体现签订时间），每提供1项有效业绩得1分，最高得10分，未提供不得分。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1、满足竞争性磋商文件要求的有效最低报价为磋商基准价。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详见附件：法人授权委托书.docx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ind w:firstLine="960"/>
      </w:pPr>
      <w:r>
        <w:rPr>
          <w:rFonts w:ascii="仿宋_GB2312" w:hAnsi="仿宋_GB2312" w:cs="仿宋_GB2312" w:eastAsia="仿宋_GB2312"/>
        </w:rPr>
        <w:t>详见附件：同类项目业绩.docx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