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2995C">
      <w:pPr>
        <w:outlineLvl w:val="1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 xml:space="preserve">                  </w:t>
      </w:r>
    </w:p>
    <w:p w14:paraId="1558A975">
      <w:pPr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 xml:space="preserve">          </w:t>
      </w:r>
    </w:p>
    <w:p w14:paraId="0F3210E9">
      <w:pPr>
        <w:jc w:val="center"/>
        <w:rPr>
          <w:rFonts w:hint="eastAsia" w:ascii="宋体" w:hAnsi="宋体" w:eastAsia="宋体" w:cs="宋体"/>
          <w:sz w:val="52"/>
          <w:szCs w:val="52"/>
          <w:highlight w:val="none"/>
        </w:rPr>
      </w:pPr>
    </w:p>
    <w:p w14:paraId="676D7736">
      <w:pPr>
        <w:jc w:val="center"/>
        <w:rPr>
          <w:rFonts w:hint="eastAsia" w:ascii="宋体" w:hAnsi="宋体" w:eastAsia="宋体" w:cs="宋体"/>
          <w:sz w:val="52"/>
          <w:szCs w:val="52"/>
          <w:highlight w:val="none"/>
        </w:rPr>
      </w:pPr>
    </w:p>
    <w:p w14:paraId="49CC6087">
      <w:pPr>
        <w:jc w:val="center"/>
        <w:outlineLvl w:val="9"/>
        <w:rPr>
          <w:rFonts w:hint="eastAsia" w:ascii="宋体" w:hAnsi="宋体" w:eastAsia="宋体" w:cs="宋体"/>
          <w:b/>
          <w:snapToGrid w:val="0"/>
          <w:sz w:val="48"/>
          <w:szCs w:val="48"/>
          <w:highlight w:val="none"/>
          <w:u w:val="single"/>
        </w:rPr>
      </w:pPr>
      <w:r>
        <w:rPr>
          <w:rFonts w:hint="eastAsia" w:ascii="宋体" w:hAnsi="宋体" w:eastAsia="宋体" w:cs="宋体"/>
          <w:b/>
          <w:snapToGrid w:val="0"/>
          <w:sz w:val="48"/>
          <w:szCs w:val="48"/>
          <w:highlight w:val="none"/>
          <w:u w:val="single"/>
        </w:rPr>
        <w:t>(项目名称)</w:t>
      </w:r>
    </w:p>
    <w:p w14:paraId="5F3E61A0">
      <w:pPr>
        <w:jc w:val="center"/>
        <w:outlineLvl w:val="9"/>
        <w:rPr>
          <w:rFonts w:hint="eastAsia" w:ascii="宋体" w:hAnsi="宋体" w:eastAsia="宋体" w:cs="宋体"/>
          <w:b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服 务 合 同</w:t>
      </w:r>
    </w:p>
    <w:p w14:paraId="694D4700">
      <w:pPr>
        <w:jc w:val="center"/>
        <w:outlineLvl w:val="9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 xml:space="preserve">（项目编号：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）</w:t>
      </w:r>
    </w:p>
    <w:p w14:paraId="42EBFF71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2A753F86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09AF217D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0305948C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7B7267AB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747FDDF9">
      <w:pPr>
        <w:ind w:firstLine="2080" w:firstLineChars="650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甲  方： </w:t>
      </w:r>
    </w:p>
    <w:p w14:paraId="45D879CF">
      <w:pPr>
        <w:tabs>
          <w:tab w:val="left" w:pos="480"/>
        </w:tabs>
        <w:ind w:firstLine="640" w:firstLineChars="200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         乙  方：</w:t>
      </w:r>
    </w:p>
    <w:p w14:paraId="6D64E6B0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1229F7CF">
      <w:pPr>
        <w:jc w:val="center"/>
        <w:outlineLvl w:val="9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  年  月</w:t>
      </w:r>
      <w:r>
        <w:rPr>
          <w:rFonts w:hint="eastAsia" w:hAnsi="宋体" w:cs="宋体"/>
          <w:sz w:val="32"/>
          <w:szCs w:val="32"/>
          <w:highlight w:val="none"/>
          <w:lang w:val="en-US" w:eastAsia="zh-CN"/>
        </w:rPr>
        <w:t xml:space="preserve">  日</w:t>
      </w:r>
    </w:p>
    <w:p w14:paraId="34DD60BB">
      <w:pPr>
        <w:jc w:val="center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24CB3FDA">
      <w:pPr>
        <w:spacing w:line="590" w:lineRule="exact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7E98E282">
      <w:pPr>
        <w:jc w:val="center"/>
        <w:outlineLvl w:val="2"/>
        <w:rPr>
          <w:rFonts w:hint="eastAsia" w:ascii="黑体" w:eastAsia="宋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br w:type="page"/>
      </w:r>
      <w:bookmarkStart w:id="0" w:name="_Toc28398"/>
      <w:r>
        <w:rPr>
          <w:rFonts w:hint="eastAsia" w:ascii="黑体" w:eastAsia="黑体"/>
          <w:b/>
          <w:color w:val="auto"/>
          <w:sz w:val="36"/>
          <w:szCs w:val="36"/>
          <w:highlight w:val="none"/>
          <w:lang w:eastAsia="zh-CN"/>
        </w:rPr>
        <w:t>协</w:t>
      </w:r>
      <w:r>
        <w:rPr>
          <w:rFonts w:hint="eastAsia" w:ascii="黑体" w:eastAsia="黑体"/>
          <w:b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b/>
          <w:color w:val="auto"/>
          <w:sz w:val="36"/>
          <w:szCs w:val="36"/>
          <w:highlight w:val="none"/>
          <w:lang w:eastAsia="zh-CN"/>
        </w:rPr>
        <w:t>议</w:t>
      </w:r>
      <w:r>
        <w:rPr>
          <w:rFonts w:hint="eastAsia" w:ascii="黑体" w:eastAsia="黑体"/>
          <w:b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b/>
          <w:color w:val="auto"/>
          <w:sz w:val="36"/>
          <w:szCs w:val="36"/>
          <w:highlight w:val="none"/>
          <w:lang w:eastAsia="zh-CN"/>
        </w:rPr>
        <w:t>书</w:t>
      </w:r>
      <w:bookmarkEnd w:id="0"/>
    </w:p>
    <w:p w14:paraId="4318C2C5">
      <w:pPr>
        <w:spacing w:line="360" w:lineRule="auto"/>
        <w:rPr>
          <w:rFonts w:hAnsi="宋体" w:cs="宋体"/>
          <w:color w:val="auto"/>
          <w:szCs w:val="21"/>
          <w:highlight w:val="none"/>
          <w:u w:val="single"/>
        </w:rPr>
      </w:pPr>
      <w:r>
        <w:rPr>
          <w:rFonts w:hint="eastAsia" w:hAnsi="宋体" w:cs="宋体"/>
          <w:color w:val="auto"/>
          <w:szCs w:val="21"/>
          <w:highlight w:val="none"/>
        </w:rPr>
        <w:t>甲方：</w:t>
      </w:r>
      <w:r>
        <w:rPr>
          <w:rFonts w:hint="eastAsia" w:hAnsi="宋体" w:cs="宋体"/>
          <w:color w:val="auto"/>
          <w:szCs w:val="21"/>
          <w:highlight w:val="none"/>
          <w:u w:val="single"/>
        </w:rPr>
        <w:t xml:space="preserve">             </w:t>
      </w:r>
    </w:p>
    <w:p w14:paraId="4F51AA8E">
      <w:pPr>
        <w:spacing w:line="360" w:lineRule="auto"/>
        <w:rPr>
          <w:rFonts w:hint="eastAsia" w:hAnsi="宋体" w:cs="宋体"/>
          <w:color w:val="auto"/>
          <w:szCs w:val="21"/>
          <w:highlight w:val="none"/>
          <w:u w:val="single"/>
        </w:rPr>
      </w:pPr>
      <w:r>
        <w:rPr>
          <w:rFonts w:hint="eastAsia" w:hAnsi="宋体" w:cs="宋体"/>
          <w:color w:val="auto"/>
          <w:szCs w:val="21"/>
          <w:highlight w:val="none"/>
        </w:rPr>
        <w:t>乙方：</w:t>
      </w:r>
      <w:r>
        <w:rPr>
          <w:rFonts w:hint="eastAsia" w:hAnsi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Cs w:val="21"/>
          <w:highlight w:val="none"/>
          <w:u w:val="single"/>
        </w:rPr>
        <w:t xml:space="preserve"> </w:t>
      </w:r>
    </w:p>
    <w:p w14:paraId="75104684">
      <w:pPr>
        <w:spacing w:line="360" w:lineRule="auto"/>
        <w:ind w:firstLine="480" w:firstLineChars="200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根据《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中华人民共和国民法典</w:t>
      </w:r>
      <w:r>
        <w:rPr>
          <w:rFonts w:hint="eastAsia" w:hAnsi="宋体" w:cs="宋体"/>
          <w:color w:val="auto"/>
          <w:szCs w:val="21"/>
          <w:highlight w:val="none"/>
        </w:rPr>
        <w:t>》、《中华人民共和国</w:t>
      </w:r>
      <w:r>
        <w:rPr>
          <w:rFonts w:hint="eastAsia" w:hAnsi="宋体" w:cs="宋体"/>
          <w:color w:val="auto"/>
          <w:szCs w:val="21"/>
          <w:highlight w:val="none"/>
          <w:lang w:val="en-US" w:eastAsia="zh-CN"/>
        </w:rPr>
        <w:t>政府采购</w:t>
      </w:r>
      <w:r>
        <w:rPr>
          <w:rFonts w:hint="eastAsia" w:hAnsi="宋体" w:cs="宋体"/>
          <w:color w:val="auto"/>
          <w:szCs w:val="21"/>
          <w:highlight w:val="none"/>
        </w:rPr>
        <w:t>法》与项目行业有关的法律法规，以及本项目（</w:t>
      </w:r>
      <w:r>
        <w:rPr>
          <w:rFonts w:hint="eastAsia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项目名称            </w:t>
      </w:r>
      <w:r>
        <w:rPr>
          <w:rFonts w:hint="eastAsia" w:hAnsi="宋体" w:cs="宋体"/>
          <w:color w:val="auto"/>
          <w:szCs w:val="21"/>
          <w:highlight w:val="none"/>
        </w:rPr>
        <w:t>）相关采购要求的规定，合同双方就乙方向采购方提供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，</w:t>
      </w:r>
      <w:r>
        <w:rPr>
          <w:rFonts w:hint="eastAsia" w:hAnsi="宋体" w:cs="宋体"/>
          <w:color w:val="auto"/>
          <w:szCs w:val="21"/>
          <w:highlight w:val="none"/>
        </w:rPr>
        <w:t>协商达成一致，确立本合同。</w:t>
      </w:r>
    </w:p>
    <w:p w14:paraId="6FAA4ED4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/>
          <w:color w:val="auto"/>
          <w:szCs w:val="21"/>
          <w:highlight w:val="none"/>
        </w:rPr>
      </w:pPr>
      <w:bookmarkStart w:id="1" w:name="_Toc30883"/>
      <w:bookmarkStart w:id="2" w:name="_Toc8841"/>
      <w:r>
        <w:rPr>
          <w:rFonts w:hint="eastAsia" w:hAnsi="宋体" w:cs="宋体"/>
          <w:b/>
          <w:color w:val="auto"/>
          <w:szCs w:val="21"/>
          <w:highlight w:val="none"/>
        </w:rPr>
        <w:t>一、合同标的物内容、数量及单价</w:t>
      </w:r>
      <w:r>
        <w:rPr>
          <w:rFonts w:hint="eastAsia" w:hAnsi="宋体" w:cs="宋体"/>
          <w:color w:val="auto"/>
          <w:szCs w:val="21"/>
          <w:highlight w:val="none"/>
        </w:rPr>
        <w:t>（以竞争性磋商响应文件正本和澄清表〈函〉为准）</w:t>
      </w:r>
      <w:bookmarkEnd w:id="1"/>
      <w:bookmarkEnd w:id="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855"/>
        <w:gridCol w:w="1421"/>
        <w:gridCol w:w="2648"/>
        <w:gridCol w:w="1096"/>
      </w:tblGrid>
      <w:tr w14:paraId="28E4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58105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4EE5A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  <w:lang w:eastAsia="zh-CN"/>
              </w:rPr>
              <w:t>服务内容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3D06B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  <w:lang w:eastAsia="zh-CN"/>
              </w:rPr>
              <w:t>服务期限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86997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  <w:lang w:eastAsia="zh-CN"/>
              </w:rPr>
              <w:t>相关要求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C744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636CC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3EEA0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3E6CE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492F5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BABC1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977DE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6A431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2503A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</w:rPr>
              <w:t>……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C76C8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4F49F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176BD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26BF8">
            <w:pPr>
              <w:tabs>
                <w:tab w:val="left" w:pos="480"/>
              </w:tabs>
              <w:spacing w:line="396" w:lineRule="exact"/>
              <w:jc w:val="center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21D4DDEC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/>
          <w:color w:val="auto"/>
          <w:szCs w:val="21"/>
          <w:highlight w:val="none"/>
        </w:rPr>
      </w:pPr>
      <w:bookmarkStart w:id="3" w:name="_Toc4137"/>
      <w:bookmarkStart w:id="4" w:name="_Toc3926"/>
      <w:r>
        <w:rPr>
          <w:rFonts w:hint="eastAsia" w:hAnsi="宋体" w:cs="宋体"/>
          <w:b/>
          <w:color w:val="auto"/>
          <w:szCs w:val="21"/>
          <w:highlight w:val="none"/>
        </w:rPr>
        <w:t>二、合同价款</w:t>
      </w:r>
      <w:bookmarkEnd w:id="3"/>
      <w:bookmarkEnd w:id="4"/>
    </w:p>
    <w:p w14:paraId="760062DD">
      <w:pPr>
        <w:tabs>
          <w:tab w:val="left" w:pos="480"/>
        </w:tabs>
        <w:spacing w:line="360" w:lineRule="auto"/>
        <w:ind w:firstLine="480" w:firstLineChars="200"/>
        <w:rPr>
          <w:rFonts w:hint="default" w:hAnsi="宋体" w:cs="宋体"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hAnsi="宋体" w:cs="宋体"/>
          <w:color w:val="auto"/>
          <w:szCs w:val="21"/>
          <w:highlight w:val="none"/>
        </w:rPr>
        <w:t>（一）</w:t>
      </w:r>
      <w:r>
        <w:rPr>
          <w:rFonts w:hint="eastAsia" w:hAnsi="宋体" w:cs="宋体"/>
          <w:color w:val="auto"/>
          <w:szCs w:val="21"/>
          <w:highlight w:val="none"/>
          <w:lang w:val="en-US" w:eastAsia="zh-CN"/>
        </w:rPr>
        <w:t>本合同为总价合同，各项活动服务的合同总价为其磋商最终报价</w:t>
      </w:r>
      <w:r>
        <w:rPr>
          <w:rFonts w:hint="eastAsia" w:hAnsi="宋体" w:cs="宋体"/>
          <w:color w:val="auto"/>
          <w:szCs w:val="21"/>
          <w:highlight w:val="none"/>
        </w:rPr>
        <w:t>。</w:t>
      </w:r>
    </w:p>
    <w:p w14:paraId="32DA5920">
      <w:pPr>
        <w:tabs>
          <w:tab w:val="left" w:pos="480"/>
        </w:tabs>
        <w:spacing w:line="360" w:lineRule="auto"/>
        <w:ind w:firstLine="480" w:firstLineChars="200"/>
        <w:rPr>
          <w:rFonts w:hint="default" w:hAnsi="宋体" w:cs="宋体"/>
          <w:color w:val="auto"/>
          <w:szCs w:val="21"/>
          <w:highlight w:val="none"/>
          <w:lang w:val="en-US"/>
        </w:rPr>
      </w:pPr>
      <w:r>
        <w:rPr>
          <w:rFonts w:hint="eastAsia" w:hAnsi="宋体" w:cs="宋体"/>
          <w:color w:val="auto"/>
          <w:szCs w:val="21"/>
          <w:highlight w:val="none"/>
        </w:rPr>
        <w:t>（二）合同价包括：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                              </w:t>
      </w:r>
    </w:p>
    <w:p w14:paraId="3A4900CB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/>
          <w:color w:val="auto"/>
          <w:szCs w:val="21"/>
          <w:highlight w:val="none"/>
        </w:rPr>
      </w:pPr>
      <w:bookmarkStart w:id="5" w:name="_Toc23247"/>
      <w:bookmarkStart w:id="6" w:name="_Toc28664"/>
      <w:r>
        <w:rPr>
          <w:rFonts w:hint="eastAsia" w:hAnsi="宋体" w:cs="宋体"/>
          <w:b/>
          <w:color w:val="auto"/>
          <w:szCs w:val="21"/>
          <w:highlight w:val="none"/>
        </w:rPr>
        <w:t>三、款项结算</w:t>
      </w:r>
      <w:bookmarkEnd w:id="5"/>
      <w:bookmarkEnd w:id="6"/>
    </w:p>
    <w:p w14:paraId="09024F40">
      <w:pPr>
        <w:tabs>
          <w:tab w:val="left" w:pos="480"/>
        </w:tabs>
        <w:spacing w:line="360" w:lineRule="auto"/>
        <w:ind w:firstLine="480" w:firstLineChars="200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  <w:lang w:eastAsia="zh-CN"/>
        </w:rPr>
        <w:t>详见合同前附表</w:t>
      </w:r>
      <w:r>
        <w:rPr>
          <w:rFonts w:hint="eastAsia" w:hAnsi="宋体" w:cs="宋体"/>
          <w:color w:val="auto"/>
          <w:szCs w:val="21"/>
          <w:highlight w:val="none"/>
        </w:rPr>
        <w:t>。</w:t>
      </w:r>
    </w:p>
    <w:p w14:paraId="1F1BF5A7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color w:val="auto"/>
          <w:szCs w:val="21"/>
          <w:highlight w:val="none"/>
        </w:rPr>
      </w:pPr>
      <w:bookmarkStart w:id="7" w:name="_Toc21714"/>
      <w:bookmarkStart w:id="8" w:name="_Toc24406"/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四</w:t>
      </w:r>
      <w:r>
        <w:rPr>
          <w:rFonts w:hint="eastAsia" w:hAnsi="宋体" w:cs="宋体"/>
          <w:b/>
          <w:color w:val="auto"/>
          <w:szCs w:val="21"/>
          <w:highlight w:val="none"/>
        </w:rPr>
        <w:t>、</w:t>
      </w:r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服务</w:t>
      </w:r>
      <w:r>
        <w:rPr>
          <w:rFonts w:hint="eastAsia" w:hAnsi="宋体" w:cs="宋体"/>
          <w:b/>
          <w:color w:val="auto"/>
          <w:szCs w:val="21"/>
          <w:highlight w:val="none"/>
        </w:rPr>
        <w:t>条件：</w:t>
      </w:r>
      <w:bookmarkEnd w:id="7"/>
      <w:bookmarkEnd w:id="8"/>
    </w:p>
    <w:p w14:paraId="1478F878">
      <w:pPr>
        <w:tabs>
          <w:tab w:val="left" w:pos="480"/>
        </w:tabs>
        <w:spacing w:line="360" w:lineRule="auto"/>
        <w:ind w:firstLine="480" w:firstLineChars="200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（一）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服务</w:t>
      </w:r>
      <w:r>
        <w:rPr>
          <w:rFonts w:hint="eastAsia" w:hAnsi="宋体" w:cs="宋体"/>
          <w:color w:val="auto"/>
          <w:szCs w:val="21"/>
          <w:highlight w:val="none"/>
        </w:rPr>
        <w:t>地点：甲方指定地点。</w:t>
      </w:r>
    </w:p>
    <w:p w14:paraId="752AE4A2">
      <w:pPr>
        <w:tabs>
          <w:tab w:val="left" w:pos="480"/>
        </w:tabs>
        <w:spacing w:line="360" w:lineRule="auto"/>
        <w:ind w:firstLine="480" w:firstLineChars="200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（二）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服务</w:t>
      </w:r>
      <w:r>
        <w:rPr>
          <w:rFonts w:hint="eastAsia" w:hAnsi="宋体" w:cs="宋体"/>
          <w:color w:val="auto"/>
          <w:szCs w:val="21"/>
          <w:highlight w:val="none"/>
        </w:rPr>
        <w:t>期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：自合同签订之日起一年内。</w:t>
      </w:r>
    </w:p>
    <w:p w14:paraId="7E3F3D08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/>
          <w:color w:val="auto"/>
          <w:szCs w:val="21"/>
          <w:highlight w:val="none"/>
        </w:rPr>
      </w:pPr>
      <w:bookmarkStart w:id="9" w:name="_Toc7966"/>
      <w:bookmarkStart w:id="10" w:name="_Toc27382"/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五</w:t>
      </w:r>
      <w:r>
        <w:rPr>
          <w:rFonts w:hint="eastAsia" w:hAnsi="宋体" w:cs="宋体"/>
          <w:b/>
          <w:color w:val="auto"/>
          <w:szCs w:val="21"/>
          <w:highlight w:val="none"/>
        </w:rPr>
        <w:t>、质量保证</w:t>
      </w:r>
      <w:bookmarkEnd w:id="9"/>
      <w:bookmarkEnd w:id="10"/>
    </w:p>
    <w:p w14:paraId="0910CF62">
      <w:pPr>
        <w:tabs>
          <w:tab w:val="left" w:pos="480"/>
        </w:tabs>
        <w:spacing w:line="360" w:lineRule="auto"/>
        <w:ind w:firstLine="470" w:firstLineChars="196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1.乙方所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提</w:t>
      </w:r>
      <w:r>
        <w:rPr>
          <w:rFonts w:hint="eastAsia" w:hAnsi="宋体" w:cs="宋体"/>
          <w:color w:val="auto"/>
          <w:szCs w:val="21"/>
          <w:highlight w:val="none"/>
        </w:rPr>
        <w:t>供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服务</w:t>
      </w:r>
      <w:r>
        <w:rPr>
          <w:rFonts w:hint="eastAsia" w:hAnsi="宋体" w:cs="宋体"/>
          <w:color w:val="auto"/>
          <w:szCs w:val="21"/>
          <w:highlight w:val="none"/>
        </w:rPr>
        <w:t>保证技术指标符合要求、质量性能可靠、必须符合国家相关法律法规的要求。</w:t>
      </w:r>
    </w:p>
    <w:p w14:paraId="592FBC67">
      <w:pPr>
        <w:tabs>
          <w:tab w:val="left" w:pos="480"/>
        </w:tabs>
        <w:spacing w:line="360" w:lineRule="auto"/>
        <w:ind w:firstLine="470" w:firstLineChars="196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2、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成交</w:t>
      </w:r>
      <w:r>
        <w:rPr>
          <w:rFonts w:hint="eastAsia" w:hAnsi="宋体" w:cs="宋体"/>
          <w:color w:val="auto"/>
          <w:szCs w:val="21"/>
          <w:highlight w:val="none"/>
        </w:rPr>
        <w:t>单位应当保证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其具有完成本项目所要求</w:t>
      </w:r>
      <w:r>
        <w:rPr>
          <w:rFonts w:hint="eastAsia" w:hAnsi="宋体" w:cs="宋体"/>
          <w:color w:val="auto"/>
          <w:szCs w:val="21"/>
          <w:highlight w:val="none"/>
        </w:rPr>
        <w:t>的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服务必须具备的专业设备和服务能力</w:t>
      </w:r>
      <w:r>
        <w:rPr>
          <w:rFonts w:hint="eastAsia" w:hAnsi="宋体" w:cs="宋体"/>
          <w:color w:val="auto"/>
          <w:szCs w:val="21"/>
          <w:highlight w:val="none"/>
        </w:rPr>
        <w:t>。</w:t>
      </w:r>
    </w:p>
    <w:p w14:paraId="111BE031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/>
          <w:color w:val="auto"/>
          <w:szCs w:val="21"/>
          <w:highlight w:val="none"/>
        </w:rPr>
      </w:pPr>
      <w:bookmarkStart w:id="11" w:name="_Toc21314"/>
      <w:bookmarkStart w:id="12" w:name="_Toc12558"/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六</w:t>
      </w:r>
      <w:r>
        <w:rPr>
          <w:rFonts w:hint="eastAsia" w:hAnsi="宋体" w:cs="宋体"/>
          <w:b/>
          <w:color w:val="auto"/>
          <w:szCs w:val="21"/>
          <w:highlight w:val="none"/>
        </w:rPr>
        <w:t>、技术与服务</w:t>
      </w:r>
      <w:bookmarkEnd w:id="11"/>
      <w:bookmarkEnd w:id="12"/>
    </w:p>
    <w:p w14:paraId="16E04CC7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 w:val="0"/>
          <w:bCs/>
          <w:color w:val="auto"/>
          <w:szCs w:val="21"/>
          <w:highlight w:val="none"/>
          <w:lang w:val="en-US" w:eastAsia="zh-CN"/>
        </w:rPr>
      </w:pPr>
      <w:bookmarkStart w:id="13" w:name="_Toc12975"/>
      <w:bookmarkStart w:id="14" w:name="_Toc22161"/>
      <w:r>
        <w:rPr>
          <w:rFonts w:hint="eastAsia" w:hAnsi="宋体" w:cs="宋体"/>
          <w:b w:val="0"/>
          <w:bCs/>
          <w:color w:val="auto"/>
          <w:szCs w:val="21"/>
          <w:highlight w:val="none"/>
          <w:lang w:val="en-US" w:eastAsia="zh-CN"/>
        </w:rPr>
        <w:t xml:space="preserve">（一）基本要求 </w:t>
      </w:r>
    </w:p>
    <w:p w14:paraId="0A88C55F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 w:val="0"/>
          <w:bCs/>
          <w:color w:val="auto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auto"/>
          <w:szCs w:val="21"/>
          <w:highlight w:val="none"/>
          <w:lang w:val="en-US" w:eastAsia="zh-CN"/>
        </w:rPr>
        <w:t xml:space="preserve">（二）技术要求 </w:t>
      </w:r>
    </w:p>
    <w:p w14:paraId="4AE50C51">
      <w:pPr>
        <w:tabs>
          <w:tab w:val="left" w:pos="480"/>
        </w:tabs>
        <w:spacing w:line="360" w:lineRule="auto"/>
        <w:outlineLvl w:val="1"/>
        <w:rPr>
          <w:rFonts w:hint="eastAsia" w:hAnsi="宋体" w:cs="宋体"/>
          <w:b w:val="0"/>
          <w:bCs/>
          <w:color w:val="auto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auto"/>
          <w:szCs w:val="21"/>
          <w:highlight w:val="none"/>
          <w:lang w:val="en-US" w:eastAsia="zh-CN"/>
        </w:rPr>
        <w:t>（三）服务要求</w:t>
      </w:r>
    </w:p>
    <w:bookmarkEnd w:id="13"/>
    <w:bookmarkEnd w:id="14"/>
    <w:p w14:paraId="7444E199">
      <w:pPr>
        <w:tabs>
          <w:tab w:val="left" w:pos="480"/>
        </w:tabs>
        <w:spacing w:line="360" w:lineRule="auto"/>
        <w:rPr>
          <w:rFonts w:hint="eastAsia" w:hAnsi="宋体" w:cs="宋体"/>
          <w:b/>
          <w:bCs/>
          <w:color w:val="auto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Cs w:val="21"/>
          <w:highlight w:val="none"/>
          <w:lang w:val="en-US" w:eastAsia="zh-CN"/>
        </w:rPr>
        <w:t>七</w:t>
      </w:r>
      <w:r>
        <w:rPr>
          <w:rFonts w:hint="eastAsia" w:hAnsi="宋体" w:cs="宋体"/>
          <w:b/>
          <w:bCs/>
          <w:color w:val="auto"/>
          <w:szCs w:val="21"/>
          <w:highlight w:val="none"/>
        </w:rPr>
        <w:t>、商务要求 （如服务期限、款项结算等）</w:t>
      </w:r>
    </w:p>
    <w:p w14:paraId="0C7C0C30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（一）服务期限</w:t>
      </w:r>
    </w:p>
    <w:p w14:paraId="519718BA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  <w:lang w:eastAsia="zh-CN"/>
        </w:rPr>
      </w:pPr>
      <w:r>
        <w:rPr>
          <w:rFonts w:hint="eastAsia" w:hAnsi="宋体" w:cs="宋体"/>
          <w:color w:val="auto"/>
          <w:szCs w:val="21"/>
          <w:highlight w:val="none"/>
          <w:lang w:eastAsia="zh-CN"/>
        </w:rPr>
        <w:t>自合同签订之日起一年内。</w:t>
      </w:r>
    </w:p>
    <w:p w14:paraId="40B54A73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（二）款项结算</w:t>
      </w:r>
    </w:p>
    <w:p w14:paraId="73DE4D7E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1.付款方式：</w:t>
      </w:r>
    </w:p>
    <w:p w14:paraId="03DFDCB4">
      <w:pPr>
        <w:tabs>
          <w:tab w:val="left" w:pos="480"/>
        </w:tabs>
        <w:spacing w:line="360" w:lineRule="auto"/>
        <w:ind w:firstLine="480" w:firstLineChars="200"/>
        <w:rPr>
          <w:rFonts w:hint="eastAsia" w:hAnsi="宋体" w:cs="宋体"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hAnsi="宋体" w:cs="宋体"/>
          <w:color w:val="auto"/>
          <w:szCs w:val="21"/>
          <w:highlight w:val="none"/>
        </w:rPr>
        <w:t>自合同签订后，每取得一个批次的农村集体土地农用地转用批复，甲方需在</w:t>
      </w:r>
      <w:r>
        <w:rPr>
          <w:rFonts w:hint="eastAsia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</w:p>
    <w:p w14:paraId="2B378152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bookmarkStart w:id="15" w:name="_GoBack"/>
      <w:bookmarkEnd w:id="15"/>
      <w:r>
        <w:rPr>
          <w:rFonts w:hint="eastAsia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Cs w:val="21"/>
          <w:highlight w:val="none"/>
        </w:rPr>
        <w:t>日内按照该批次涉及的户数一次性支付相应的费用。</w:t>
      </w:r>
    </w:p>
    <w:p w14:paraId="31EF78A6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2、支付方式：银行转账。</w:t>
      </w:r>
    </w:p>
    <w:p w14:paraId="4FF63BF2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Cs w:val="21"/>
          <w:highlight w:val="none"/>
          <w:lang w:val="en-US" w:eastAsia="zh-CN"/>
        </w:rPr>
        <w:t>八</w:t>
      </w:r>
      <w:r>
        <w:rPr>
          <w:rFonts w:hint="eastAsia" w:hAnsi="宋体" w:cs="宋体"/>
          <w:b/>
          <w:bCs/>
          <w:color w:val="auto"/>
          <w:szCs w:val="21"/>
          <w:highlight w:val="none"/>
        </w:rPr>
        <w:t>、其他（如有要求，请写明）</w:t>
      </w:r>
      <w:r>
        <w:rPr>
          <w:rFonts w:hint="eastAsia" w:hAnsi="宋体" w:cs="宋体"/>
          <w:color w:val="auto"/>
          <w:szCs w:val="21"/>
          <w:highlight w:val="none"/>
        </w:rPr>
        <w:t xml:space="preserve"> </w:t>
      </w:r>
    </w:p>
    <w:p w14:paraId="2B31E914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hAnsi="宋体" w:cs="宋体"/>
          <w:color w:val="auto"/>
          <w:szCs w:val="21"/>
          <w:highlight w:val="none"/>
          <w:lang w:val="en-US" w:eastAsia="zh-CN"/>
        </w:rPr>
        <w:t>（一）进度要求：在规定时间内完成服务。</w:t>
      </w:r>
    </w:p>
    <w:p w14:paraId="21012CD7">
      <w:pPr>
        <w:tabs>
          <w:tab w:val="left" w:pos="480"/>
        </w:tabs>
        <w:spacing w:line="360" w:lineRule="auto"/>
        <w:rPr>
          <w:rFonts w:hint="eastAsia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hAnsi="宋体" w:cs="宋体"/>
          <w:color w:val="auto"/>
          <w:szCs w:val="21"/>
          <w:highlight w:val="none"/>
          <w:lang w:val="en-US" w:eastAsia="zh-CN"/>
        </w:rPr>
        <w:t>（二）成果交付要求：农村集体土地农用地转用批复</w:t>
      </w:r>
    </w:p>
    <w:p w14:paraId="155752F7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（三）质量验收标准或规范：符合目前国家或地方现行的验收标准及方法。</w:t>
      </w:r>
    </w:p>
    <w:p w14:paraId="1EC1A179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（四）违约责任</w:t>
      </w:r>
    </w:p>
    <w:p w14:paraId="1DBAEEFE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、合同生效后，如乙方无故终止履行合同，所收费用应退还甲方，由此给甲方造成的损失，甲方有权要求赔偿；因甲方原因要求终止或解除合同，乙方已开始本项目工作的，甲方应根据乙方已进行的实际工作量支付相应费用。</w:t>
      </w:r>
    </w:p>
    <w:p w14:paraId="32FCF644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2、甲乙双方如一方违反合同，应根据民法典的有关规定，向对方支付违约金，违约金按合同总价款的20%支付；造成经济损失的，还应进行赔偿。</w:t>
      </w:r>
    </w:p>
    <w:p w14:paraId="5CD1E217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3、签约各方因不可抗力无法履行合同的，根据不可抗力的影响，部分或者全部免除责任，法律另有规定的除外。</w:t>
      </w:r>
    </w:p>
    <w:p w14:paraId="7AFE6D72">
      <w:pPr>
        <w:tabs>
          <w:tab w:val="left" w:pos="480"/>
        </w:tabs>
        <w:spacing w:line="360" w:lineRule="auto"/>
        <w:ind w:firstLine="480" w:firstLineChars="200"/>
        <w:rPr>
          <w:rFonts w:hint="eastAsia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4、甲方违反本合同约定，未能按期向乙方支付相关费用，每逾期一天按合同额的2‰向乙方支付违约金，乙方同时有权要求甲方继续履行合同。由于乙方自身原因，未按期</w:t>
      </w:r>
      <w:r>
        <w:rPr>
          <w:rFonts w:hint="eastAsia" w:hAnsi="宋体" w:cs="宋体"/>
          <w:color w:val="auto"/>
          <w:szCs w:val="21"/>
          <w:highlight w:val="none"/>
          <w:lang w:val="en-US" w:eastAsia="zh-CN"/>
        </w:rPr>
        <w:t>交出项目成果，每逾期一天按合同额的2‰向甲方支付违约金，同时有权要求乙方返还甲方已支付的款项(如有)，并赔偿甲方相应损失。由于未正确履行本合同义务或甲方认可的特殊原因、非抗力原因而影响乙方履行本合同义务的除外。</w:t>
      </w:r>
    </w:p>
    <w:p w14:paraId="48018D7C">
      <w:pPr>
        <w:tabs>
          <w:tab w:val="left" w:pos="480"/>
        </w:tabs>
        <w:spacing w:line="360" w:lineRule="auto"/>
        <w:jc w:val="left"/>
        <w:rPr>
          <w:rFonts w:hint="default" w:hAnsi="宋体" w:cs="宋体"/>
          <w:color w:val="auto"/>
          <w:szCs w:val="21"/>
          <w:highlight w:val="none"/>
          <w:lang w:val="en-US"/>
        </w:rPr>
      </w:pPr>
      <w:r>
        <w:rPr>
          <w:rFonts w:hint="eastAsia" w:hAnsi="宋体" w:cs="宋体"/>
          <w:color w:val="auto"/>
          <w:szCs w:val="21"/>
          <w:highlight w:val="none"/>
          <w:lang w:eastAsia="zh-CN"/>
        </w:rPr>
        <w:t>（五）其他：</w:t>
      </w:r>
      <w:r>
        <w:rPr>
          <w:rFonts w:hint="eastAsia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              </w:t>
      </w:r>
    </w:p>
    <w:p w14:paraId="3632320B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</w:p>
    <w:p w14:paraId="6A1A2D56">
      <w:pPr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br w:type="page"/>
      </w:r>
    </w:p>
    <w:p w14:paraId="7939445D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甲  方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：</w:t>
      </w:r>
      <w:r>
        <w:rPr>
          <w:rFonts w:hint="eastAsia" w:hAnsi="宋体" w:cs="宋体"/>
          <w:color w:val="auto"/>
          <w:szCs w:val="21"/>
          <w:highlight w:val="none"/>
        </w:rPr>
        <w:t>（盖章）                          乙  方</w:t>
      </w:r>
      <w:r>
        <w:rPr>
          <w:rFonts w:hint="eastAsia" w:hAnsi="宋体" w:cs="宋体"/>
          <w:color w:val="auto"/>
          <w:szCs w:val="21"/>
          <w:highlight w:val="none"/>
          <w:lang w:eastAsia="zh-CN"/>
        </w:rPr>
        <w:t>：</w:t>
      </w:r>
      <w:r>
        <w:rPr>
          <w:rFonts w:hint="eastAsia" w:hAnsi="宋体" w:cs="宋体"/>
          <w:color w:val="auto"/>
          <w:szCs w:val="21"/>
          <w:highlight w:val="none"/>
        </w:rPr>
        <w:t>（盖章）</w:t>
      </w:r>
    </w:p>
    <w:p w14:paraId="2C597DCF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单位名称：                                单位名称：</w:t>
      </w:r>
    </w:p>
    <w:p w14:paraId="72C5FA8B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地  址：                                  地  址：</w:t>
      </w:r>
    </w:p>
    <w:p w14:paraId="68DAE046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法定代表人                                法定代表人</w:t>
      </w:r>
    </w:p>
    <w:p w14:paraId="0D4F2952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或委托代理人：                            或委托代理人：</w:t>
      </w:r>
    </w:p>
    <w:p w14:paraId="343D6AC3">
      <w:pPr>
        <w:tabs>
          <w:tab w:val="left" w:pos="480"/>
        </w:tabs>
        <w:spacing w:line="360" w:lineRule="auto"/>
        <w:ind w:firstLine="480" w:firstLineChars="200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 xml:space="preserve">                                      开户银行：</w:t>
      </w:r>
    </w:p>
    <w:p w14:paraId="7D1015F2">
      <w:pPr>
        <w:tabs>
          <w:tab w:val="left" w:pos="480"/>
        </w:tabs>
        <w:spacing w:line="360" w:lineRule="auto"/>
        <w:ind w:firstLine="5040" w:firstLineChars="2100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 xml:space="preserve">账  号：       </w:t>
      </w:r>
    </w:p>
    <w:p w14:paraId="38164A80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 xml:space="preserve">联系电话：                    </w:t>
      </w:r>
      <w:r>
        <w:rPr>
          <w:rFonts w:hint="eastAsia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hAnsi="宋体" w:cs="宋体"/>
          <w:color w:val="auto"/>
          <w:szCs w:val="21"/>
          <w:highlight w:val="none"/>
        </w:rPr>
        <w:t xml:space="preserve">        联系电话：</w:t>
      </w:r>
    </w:p>
    <w:p w14:paraId="2D5A4E76">
      <w:pPr>
        <w:tabs>
          <w:tab w:val="left" w:pos="480"/>
        </w:tabs>
        <w:spacing w:line="360" w:lineRule="auto"/>
        <w:jc w:val="left"/>
        <w:rPr>
          <w:rFonts w:hint="eastAsia"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签订日期：     年    月      日           签订日期：     年    月   日</w:t>
      </w:r>
    </w:p>
    <w:p w14:paraId="7B7A7040">
      <w:pPr>
        <w:bidi w:val="0"/>
        <w:rPr>
          <w:rFonts w:hint="eastAsia"/>
          <w:highlight w:val="none"/>
        </w:rPr>
      </w:pPr>
    </w:p>
    <w:p w14:paraId="1E8BE5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E57AF"/>
    <w:rsid w:val="00895A50"/>
    <w:rsid w:val="05E732EC"/>
    <w:rsid w:val="08DE57AF"/>
    <w:rsid w:val="0EEA79A9"/>
    <w:rsid w:val="1FEA3A40"/>
    <w:rsid w:val="1FF42436"/>
    <w:rsid w:val="214C004F"/>
    <w:rsid w:val="23445482"/>
    <w:rsid w:val="24D3426C"/>
    <w:rsid w:val="270B070D"/>
    <w:rsid w:val="27B93CAA"/>
    <w:rsid w:val="299407E6"/>
    <w:rsid w:val="29FF2103"/>
    <w:rsid w:val="3062517A"/>
    <w:rsid w:val="336B6A5B"/>
    <w:rsid w:val="39162FC5"/>
    <w:rsid w:val="3C3232B3"/>
    <w:rsid w:val="4BF74ED8"/>
    <w:rsid w:val="503B1837"/>
    <w:rsid w:val="50812FC2"/>
    <w:rsid w:val="56B20379"/>
    <w:rsid w:val="5AFD593B"/>
    <w:rsid w:val="76872831"/>
    <w:rsid w:val="7EC1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jc w:val="both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1104</Words>
  <Characters>1109</Characters>
  <Lines>0</Lines>
  <Paragraphs>0</Paragraphs>
  <TotalTime>2</TotalTime>
  <ScaleCrop>false</ScaleCrop>
  <LinksUpToDate>false</LinksUpToDate>
  <CharactersWithSpaces>1580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2025-07-01T10:07:00Z</dcterms:created>
  <dc:creator>贾旭鸣</dc:creator>
  <cp:lastModifiedBy>WPS_1550105559</cp:lastModifiedBy>
  <dcterms:modified xsi:type="dcterms:W3CDTF">2025-08-27T08:43:23Z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14B7183B10E34356A238C56C6626B419_11</vt:lpwstr>
  </property>
  <property fmtid="{D5CDD505-2E9C-101B-9397-08002B2CF9AE}" pid="4" name="KSOTemplateDocerSaveRecord">
    <vt:lpwstr>eyJoZGlkIjoiMzNlMGFkMzhhM2RmOTZkZmJlYWVlOGVkMDQ1OTM1YzAiLCJ1c2VySWQiOiI0NzI4NTc0NDQifQ==</vt:lpwstr>
  </property>
</Properties>
</file>