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265912">
      <w:pPr>
        <w:spacing w:line="360" w:lineRule="auto"/>
        <w:rPr>
          <w:b/>
          <w:color w:val="000000"/>
          <w:sz w:val="24"/>
          <w:szCs w:val="24"/>
          <w:lang w:eastAsia="zh-CN"/>
        </w:rPr>
      </w:pPr>
      <w:bookmarkStart w:id="3" w:name="_GoBack"/>
      <w:bookmarkEnd w:id="3"/>
      <w:bookmarkStart w:id="0" w:name="_Toc191876958"/>
      <w:bookmarkStart w:id="1" w:name="_Toc11035"/>
      <w:bookmarkStart w:id="2" w:name="_Toc19188"/>
      <w:r>
        <w:rPr>
          <w:rFonts w:hint="eastAsia"/>
          <w:b/>
          <w:color w:val="000000"/>
          <w:sz w:val="24"/>
          <w:szCs w:val="24"/>
          <w:lang w:eastAsia="zh-CN"/>
        </w:rPr>
        <w:t>政府采购合同格式</w:t>
      </w:r>
    </w:p>
    <w:p w14:paraId="1A004C56">
      <w:pPr>
        <w:spacing w:line="360" w:lineRule="auto"/>
        <w:jc w:val="center"/>
        <w:rPr>
          <w:color w:val="000000"/>
          <w:sz w:val="24"/>
          <w:szCs w:val="24"/>
          <w:lang w:eastAsia="zh-CN"/>
        </w:rPr>
      </w:pPr>
    </w:p>
    <w:bookmarkEnd w:id="0"/>
    <w:bookmarkEnd w:id="1"/>
    <w:bookmarkEnd w:id="2"/>
    <w:p w14:paraId="5EC1EF35">
      <w:pPr>
        <w:jc w:val="center"/>
        <w:rPr>
          <w:b/>
          <w:color w:val="000000"/>
          <w:spacing w:val="-20"/>
          <w:sz w:val="58"/>
          <w:szCs w:val="58"/>
          <w:lang w:eastAsia="zh-CN"/>
        </w:rPr>
      </w:pPr>
    </w:p>
    <w:p w14:paraId="271B82F2">
      <w:pPr>
        <w:jc w:val="center"/>
        <w:rPr>
          <w:b/>
          <w:color w:val="000000"/>
          <w:spacing w:val="-20"/>
          <w:sz w:val="52"/>
          <w:szCs w:val="52"/>
          <w:lang w:eastAsia="zh-CN"/>
        </w:rPr>
      </w:pPr>
      <w:r>
        <w:rPr>
          <w:rFonts w:hint="eastAsia"/>
          <w:b/>
          <w:color w:val="000000"/>
          <w:spacing w:val="-20"/>
          <w:sz w:val="52"/>
          <w:szCs w:val="52"/>
          <w:lang w:eastAsia="zh-CN"/>
        </w:rPr>
        <w:t>B超主机升级及探头服务</w:t>
      </w:r>
    </w:p>
    <w:p w14:paraId="4A2F6FFC">
      <w:pPr>
        <w:jc w:val="center"/>
        <w:rPr>
          <w:b/>
          <w:color w:val="000000"/>
          <w:spacing w:val="-20"/>
          <w:sz w:val="52"/>
          <w:szCs w:val="52"/>
          <w:lang w:eastAsia="zh-CN"/>
        </w:rPr>
      </w:pPr>
    </w:p>
    <w:p w14:paraId="6BC3F6CB">
      <w:pPr>
        <w:jc w:val="center"/>
        <w:rPr>
          <w:b/>
          <w:color w:val="000000"/>
          <w:sz w:val="72"/>
          <w:szCs w:val="72"/>
          <w:lang w:eastAsia="zh-CN"/>
        </w:rPr>
      </w:pPr>
      <w:r>
        <w:rPr>
          <w:rFonts w:hint="eastAsia"/>
          <w:b/>
          <w:color w:val="000000"/>
          <w:sz w:val="24"/>
          <w:szCs w:val="24"/>
          <w:lang w:eastAsia="zh-CN"/>
        </w:rPr>
        <w:t>（本格式条款供甲方和成交单位双方签订合同参考，甲方可根据项目的实际情况增减条款和内容）</w:t>
      </w:r>
    </w:p>
    <w:p w14:paraId="7B740FC4">
      <w:pPr>
        <w:jc w:val="center"/>
        <w:rPr>
          <w:b/>
          <w:color w:val="000000"/>
          <w:sz w:val="52"/>
          <w:szCs w:val="52"/>
          <w:lang w:eastAsia="zh-CN"/>
        </w:rPr>
      </w:pPr>
    </w:p>
    <w:p w14:paraId="73D0BAD7">
      <w:pPr>
        <w:jc w:val="center"/>
        <w:rPr>
          <w:b/>
          <w:color w:val="000000"/>
          <w:sz w:val="52"/>
          <w:szCs w:val="52"/>
          <w:lang w:eastAsia="zh-CN"/>
        </w:rPr>
      </w:pPr>
      <w:r>
        <w:rPr>
          <w:rFonts w:hint="eastAsia"/>
          <w:b/>
          <w:color w:val="000000"/>
          <w:sz w:val="52"/>
          <w:szCs w:val="52"/>
          <w:lang w:val="en-US" w:eastAsia="zh-CN"/>
        </w:rPr>
        <w:t>服务合同</w:t>
      </w:r>
    </w:p>
    <w:p w14:paraId="27894537">
      <w:pPr>
        <w:spacing w:line="360" w:lineRule="auto"/>
        <w:ind w:firstLine="2400" w:firstLineChars="800"/>
        <w:rPr>
          <w:rFonts w:hint="eastAsia"/>
          <w:color w:val="000000"/>
          <w:sz w:val="30"/>
          <w:szCs w:val="30"/>
          <w:lang w:eastAsia="zh-CN"/>
        </w:rPr>
      </w:pPr>
      <w:r>
        <w:rPr>
          <w:rFonts w:hint="eastAsia"/>
          <w:color w:val="000000"/>
          <w:sz w:val="30"/>
          <w:szCs w:val="30"/>
          <w:lang w:eastAsia="zh-CN"/>
        </w:rPr>
        <w:t xml:space="preserve">   </w:t>
      </w:r>
    </w:p>
    <w:p w14:paraId="5461CA11">
      <w:pPr>
        <w:spacing w:line="360" w:lineRule="auto"/>
        <w:ind w:firstLine="3600" w:firstLineChars="1200"/>
        <w:rPr>
          <w:color w:val="000000"/>
          <w:sz w:val="24"/>
          <w:szCs w:val="24"/>
          <w:lang w:eastAsia="zh-CN"/>
        </w:rPr>
      </w:pPr>
      <w:r>
        <w:rPr>
          <w:rFonts w:hint="eastAsia"/>
          <w:color w:val="000000"/>
          <w:sz w:val="30"/>
          <w:szCs w:val="30"/>
          <w:lang w:eastAsia="zh-CN"/>
        </w:rPr>
        <w:t>项目编号：</w:t>
      </w:r>
    </w:p>
    <w:p w14:paraId="649AF8E2">
      <w:pPr>
        <w:jc w:val="center"/>
        <w:rPr>
          <w:color w:val="000000"/>
          <w:sz w:val="30"/>
          <w:szCs w:val="30"/>
          <w:lang w:eastAsia="zh-CN"/>
        </w:rPr>
      </w:pPr>
    </w:p>
    <w:p w14:paraId="614AC67C">
      <w:pPr>
        <w:jc w:val="center"/>
        <w:rPr>
          <w:color w:val="000000"/>
          <w:sz w:val="30"/>
          <w:szCs w:val="30"/>
          <w:lang w:eastAsia="zh-CN"/>
        </w:rPr>
      </w:pPr>
    </w:p>
    <w:p w14:paraId="48D2A5FE">
      <w:pPr>
        <w:jc w:val="center"/>
        <w:rPr>
          <w:color w:val="000000"/>
          <w:sz w:val="30"/>
          <w:szCs w:val="30"/>
          <w:lang w:eastAsia="zh-CN"/>
        </w:rPr>
      </w:pPr>
    </w:p>
    <w:p w14:paraId="58D3FC6F">
      <w:pPr>
        <w:rPr>
          <w:color w:val="000000"/>
          <w:sz w:val="32"/>
          <w:szCs w:val="32"/>
          <w:lang w:eastAsia="zh-CN"/>
        </w:rPr>
      </w:pPr>
      <w:r>
        <w:rPr>
          <w:rFonts w:hint="eastAsia"/>
          <w:color w:val="000000"/>
          <w:sz w:val="32"/>
          <w:szCs w:val="32"/>
          <w:lang w:eastAsia="zh-CN"/>
        </w:rPr>
        <w:t>甲  方：西安市阎良区人民医院</w:t>
      </w:r>
    </w:p>
    <w:p w14:paraId="0D821B6C">
      <w:pPr>
        <w:rPr>
          <w:color w:val="000000"/>
          <w:sz w:val="32"/>
          <w:szCs w:val="32"/>
          <w:lang w:eastAsia="zh-CN"/>
        </w:rPr>
      </w:pPr>
    </w:p>
    <w:p w14:paraId="54B26252">
      <w:pPr>
        <w:rPr>
          <w:color w:val="000000"/>
          <w:sz w:val="32"/>
          <w:szCs w:val="32"/>
          <w:lang w:eastAsia="zh-CN"/>
        </w:rPr>
      </w:pPr>
      <w:r>
        <w:rPr>
          <w:rFonts w:hint="eastAsia"/>
          <w:color w:val="000000"/>
          <w:sz w:val="32"/>
          <w:szCs w:val="32"/>
          <w:lang w:eastAsia="zh-CN"/>
        </w:rPr>
        <w:t>乙  方：</w:t>
      </w:r>
    </w:p>
    <w:p w14:paraId="625E24CD">
      <w:pPr>
        <w:rPr>
          <w:color w:val="000000"/>
          <w:sz w:val="32"/>
          <w:szCs w:val="32"/>
          <w:lang w:eastAsia="zh-CN"/>
        </w:rPr>
      </w:pPr>
      <w:r>
        <w:rPr>
          <w:rFonts w:hint="eastAsia"/>
          <w:color w:val="000000"/>
          <w:sz w:val="32"/>
          <w:szCs w:val="32"/>
          <w:lang w:eastAsia="zh-CN"/>
        </w:rPr>
        <w:t xml:space="preserve"> </w:t>
      </w:r>
    </w:p>
    <w:p w14:paraId="07B5BEDE">
      <w:pPr>
        <w:jc w:val="center"/>
        <w:rPr>
          <w:color w:val="000000"/>
          <w:sz w:val="32"/>
          <w:szCs w:val="32"/>
          <w:lang w:eastAsia="zh-CN"/>
        </w:rPr>
      </w:pPr>
      <w:r>
        <w:rPr>
          <w:rFonts w:hint="eastAsia"/>
          <w:color w:val="000000"/>
          <w:sz w:val="32"/>
          <w:szCs w:val="32"/>
          <w:lang w:eastAsia="zh-CN"/>
        </w:rPr>
        <w:t>20   年  月</w:t>
      </w:r>
    </w:p>
    <w:p w14:paraId="5F2F0C69">
      <w:pPr>
        <w:rPr>
          <w:b/>
          <w:color w:val="000000"/>
          <w:sz w:val="36"/>
          <w:szCs w:val="36"/>
          <w:lang w:eastAsia="zh-CN"/>
        </w:rPr>
      </w:pPr>
    </w:p>
    <w:p w14:paraId="5E86AAA6">
      <w:pPr>
        <w:adjustRightInd w:val="0"/>
        <w:snapToGrid w:val="0"/>
        <w:spacing w:line="384" w:lineRule="auto"/>
        <w:rPr>
          <w:rFonts w:cs="仿宋_GB2312"/>
          <w:bCs/>
          <w:sz w:val="21"/>
          <w:szCs w:val="21"/>
          <w:lang w:eastAsia="zh-CN"/>
        </w:rPr>
      </w:pPr>
      <w:r>
        <w:rPr>
          <w:b/>
          <w:color w:val="000000"/>
          <w:szCs w:val="32"/>
          <w:lang w:eastAsia="zh-CN"/>
        </w:rPr>
        <w:br w:type="page"/>
      </w:r>
      <w:r>
        <w:rPr>
          <w:rFonts w:hint="eastAsia" w:cs="仿宋_GB2312"/>
          <w:bCs/>
          <w:sz w:val="21"/>
          <w:szCs w:val="21"/>
          <w:lang w:eastAsia="zh-CN"/>
        </w:rPr>
        <w:t>甲方（甲方）：</w:t>
      </w:r>
    </w:p>
    <w:p w14:paraId="081742A7">
      <w:pPr>
        <w:adjustRightInd w:val="0"/>
        <w:snapToGrid w:val="0"/>
        <w:spacing w:line="384" w:lineRule="auto"/>
        <w:rPr>
          <w:rFonts w:cs="仿宋_GB2312"/>
          <w:bCs/>
          <w:sz w:val="21"/>
          <w:szCs w:val="21"/>
          <w:lang w:eastAsia="zh-CN"/>
        </w:rPr>
      </w:pPr>
      <w:r>
        <w:rPr>
          <w:rFonts w:hint="eastAsia" w:cs="仿宋_GB2312"/>
          <w:bCs/>
          <w:sz w:val="21"/>
          <w:szCs w:val="21"/>
          <w:lang w:eastAsia="zh-CN"/>
        </w:rPr>
        <w:t>乙方（供应商）：</w:t>
      </w:r>
    </w:p>
    <w:p w14:paraId="21EBAEB0">
      <w:pPr>
        <w:spacing w:line="360" w:lineRule="auto"/>
        <w:ind w:firstLine="420" w:firstLineChars="200"/>
        <w:rPr>
          <w:sz w:val="21"/>
          <w:szCs w:val="21"/>
        </w:rPr>
      </w:pPr>
      <w:r>
        <w:rPr>
          <w:rFonts w:hint="eastAsia"/>
          <w:sz w:val="21"/>
          <w:szCs w:val="21"/>
        </w:rPr>
        <w:t>根据《中华人民共和国民法典》及其他相关法律法规的规定，甲乙双方在平等、自愿的基础上，就提供设备维修保养服务达成如下共识：</w:t>
      </w:r>
    </w:p>
    <w:p w14:paraId="6086316D">
      <w:pPr>
        <w:numPr>
          <w:ilvl w:val="0"/>
          <w:numId w:val="0"/>
        </w:numPr>
        <w:spacing w:line="360" w:lineRule="auto"/>
        <w:rPr>
          <w:rFonts w:hint="eastAsia"/>
          <w:sz w:val="21"/>
          <w:szCs w:val="21"/>
        </w:rPr>
      </w:pPr>
      <w:r>
        <w:rPr>
          <w:rFonts w:hint="eastAsia" w:ascii="宋体" w:hAnsi="宋体" w:eastAsia="宋体" w:cs="宋体"/>
          <w:sz w:val="21"/>
          <w:szCs w:val="21"/>
          <w:lang w:val="en-US" w:eastAsia="en-US" w:bidi="ar-SA"/>
        </w:rPr>
        <w:t>1、</w:t>
      </w:r>
      <w:r>
        <w:rPr>
          <w:rFonts w:hint="eastAsia"/>
          <w:sz w:val="21"/>
          <w:szCs w:val="21"/>
        </w:rPr>
        <w:t>维保服务所保设备及服务期限、价格：</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9"/>
        <w:gridCol w:w="1161"/>
        <w:gridCol w:w="1532"/>
        <w:gridCol w:w="1562"/>
        <w:gridCol w:w="1464"/>
        <w:gridCol w:w="1441"/>
      </w:tblGrid>
      <w:tr w14:paraId="2325D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 w:hRule="atLeast"/>
        </w:trPr>
        <w:tc>
          <w:tcPr>
            <w:tcW w:w="798" w:type="pct"/>
          </w:tcPr>
          <w:p w14:paraId="44683768">
            <w:pPr>
              <w:pStyle w:val="5"/>
              <w:widowControl/>
              <w:spacing w:after="156"/>
              <w:jc w:val="left"/>
              <w:rPr>
                <w:rFonts w:ascii="宋体" w:hAnsi="宋体" w:eastAsia="宋体" w:cs="宋体"/>
                <w:b/>
                <w:bCs/>
                <w:color w:val="000000"/>
                <w:sz w:val="21"/>
                <w:szCs w:val="21"/>
              </w:rPr>
            </w:pPr>
            <w:r>
              <w:rPr>
                <w:rFonts w:hint="eastAsia" w:cs="宋体"/>
                <w:b/>
                <w:bCs/>
                <w:color w:val="000000"/>
                <w:sz w:val="21"/>
                <w:szCs w:val="21"/>
                <w:lang w:val="en-US" w:eastAsia="zh-CN"/>
              </w:rPr>
              <w:t>项目名称</w:t>
            </w:r>
          </w:p>
        </w:tc>
        <w:tc>
          <w:tcPr>
            <w:tcW w:w="681" w:type="pct"/>
          </w:tcPr>
          <w:p w14:paraId="03E3DCF2">
            <w:pPr>
              <w:pStyle w:val="5"/>
              <w:widowControl/>
              <w:spacing w:after="156"/>
              <w:jc w:val="left"/>
              <w:rPr>
                <w:rFonts w:ascii="宋体" w:hAnsi="宋体" w:eastAsia="宋体" w:cs="宋体"/>
                <w:b/>
                <w:bCs/>
                <w:color w:val="000000"/>
                <w:sz w:val="21"/>
                <w:szCs w:val="21"/>
              </w:rPr>
            </w:pPr>
            <w:r>
              <w:rPr>
                <w:rFonts w:hint="eastAsia" w:ascii="宋体" w:hAnsi="宋体" w:eastAsia="宋体" w:cs="宋体"/>
                <w:b/>
                <w:bCs/>
                <w:color w:val="000000"/>
                <w:sz w:val="21"/>
                <w:szCs w:val="21"/>
              </w:rPr>
              <w:t>设备</w:t>
            </w:r>
          </w:p>
        </w:tc>
        <w:tc>
          <w:tcPr>
            <w:tcW w:w="899" w:type="pct"/>
          </w:tcPr>
          <w:p w14:paraId="75113FD3">
            <w:pPr>
              <w:pStyle w:val="5"/>
              <w:widowControl/>
              <w:spacing w:after="50"/>
              <w:jc w:val="left"/>
              <w:rPr>
                <w:rFonts w:ascii="宋体" w:hAnsi="宋体" w:eastAsia="宋体" w:cs="宋体"/>
                <w:b/>
                <w:bCs/>
                <w:color w:val="000000"/>
                <w:sz w:val="21"/>
                <w:szCs w:val="21"/>
              </w:rPr>
            </w:pPr>
            <w:r>
              <w:rPr>
                <w:rFonts w:hint="eastAsia" w:ascii="宋体" w:hAnsi="宋体" w:eastAsia="宋体" w:cs="宋体"/>
                <w:b/>
                <w:bCs/>
                <w:color w:val="000000"/>
                <w:sz w:val="21"/>
                <w:szCs w:val="21"/>
              </w:rPr>
              <w:t>最终用户</w:t>
            </w:r>
          </w:p>
        </w:tc>
        <w:tc>
          <w:tcPr>
            <w:tcW w:w="917" w:type="pct"/>
          </w:tcPr>
          <w:p w14:paraId="161BD8A2">
            <w:pPr>
              <w:pStyle w:val="5"/>
              <w:widowControl/>
              <w:spacing w:after="156"/>
              <w:jc w:val="left"/>
              <w:rPr>
                <w:rFonts w:ascii="宋体" w:hAnsi="宋体" w:eastAsia="宋体" w:cs="宋体"/>
                <w:b/>
                <w:bCs/>
                <w:color w:val="000000"/>
                <w:sz w:val="21"/>
                <w:szCs w:val="21"/>
              </w:rPr>
            </w:pPr>
            <w:r>
              <w:rPr>
                <w:rFonts w:hint="eastAsia" w:ascii="宋体" w:hAnsi="宋体" w:eastAsia="宋体" w:cs="宋体"/>
                <w:b/>
                <w:bCs/>
                <w:color w:val="000000"/>
                <w:sz w:val="21"/>
                <w:szCs w:val="21"/>
              </w:rPr>
              <w:t>服务类型</w:t>
            </w:r>
          </w:p>
        </w:tc>
        <w:tc>
          <w:tcPr>
            <w:tcW w:w="859" w:type="pct"/>
          </w:tcPr>
          <w:p w14:paraId="7FCEEA49">
            <w:pPr>
              <w:pStyle w:val="5"/>
              <w:widowControl/>
              <w:spacing w:after="156"/>
              <w:jc w:val="left"/>
              <w:rPr>
                <w:rFonts w:ascii="宋体" w:hAnsi="宋体" w:eastAsia="宋体" w:cs="宋体"/>
                <w:b/>
                <w:bCs/>
                <w:color w:val="000000"/>
                <w:sz w:val="21"/>
                <w:szCs w:val="21"/>
              </w:rPr>
            </w:pPr>
            <w:r>
              <w:rPr>
                <w:rFonts w:hint="eastAsia" w:ascii="宋体" w:hAnsi="宋体" w:eastAsia="宋体" w:cs="宋体"/>
                <w:b/>
                <w:bCs/>
                <w:color w:val="000000"/>
                <w:sz w:val="21"/>
                <w:szCs w:val="21"/>
              </w:rPr>
              <w:t>服务期限</w:t>
            </w:r>
          </w:p>
        </w:tc>
        <w:tc>
          <w:tcPr>
            <w:tcW w:w="842" w:type="pct"/>
          </w:tcPr>
          <w:p w14:paraId="5644A1F7">
            <w:pPr>
              <w:pStyle w:val="5"/>
              <w:widowControl/>
              <w:spacing w:after="156"/>
              <w:jc w:val="left"/>
              <w:rPr>
                <w:rFonts w:hint="eastAsia" w:ascii="宋体" w:hAnsi="宋体" w:eastAsia="宋体" w:cs="宋体"/>
                <w:b/>
                <w:bCs/>
                <w:color w:val="000000"/>
                <w:sz w:val="21"/>
                <w:szCs w:val="21"/>
                <w:lang w:val="en-US" w:eastAsia="zh-CN"/>
              </w:rPr>
            </w:pPr>
            <w:r>
              <w:rPr>
                <w:rFonts w:hint="eastAsia" w:cs="宋体"/>
                <w:b/>
                <w:bCs/>
                <w:color w:val="000000"/>
                <w:sz w:val="21"/>
                <w:szCs w:val="21"/>
                <w:lang w:val="en-US" w:eastAsia="zh-CN"/>
              </w:rPr>
              <w:t>质保期</w:t>
            </w:r>
          </w:p>
        </w:tc>
      </w:tr>
      <w:tr w14:paraId="2B8F2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pct"/>
          </w:tcPr>
          <w:p w14:paraId="02EFCE95">
            <w:pPr>
              <w:jc w:val="left"/>
              <w:rPr>
                <w:rFonts w:hint="eastAsia" w:ascii="宋体" w:hAnsi="宋体" w:eastAsia="宋体" w:cs="宋体"/>
                <w:sz w:val="21"/>
                <w:szCs w:val="21"/>
                <w:lang w:eastAsia="zh-CN"/>
              </w:rPr>
            </w:pPr>
            <w:r>
              <w:rPr>
                <w:rFonts w:hint="eastAsia" w:cs="宋体"/>
                <w:sz w:val="21"/>
                <w:szCs w:val="21"/>
                <w:lang w:eastAsia="zh-CN"/>
              </w:rPr>
              <w:t>B超主机升级及探头服务</w:t>
            </w:r>
          </w:p>
        </w:tc>
        <w:tc>
          <w:tcPr>
            <w:tcW w:w="681" w:type="pct"/>
          </w:tcPr>
          <w:p w14:paraId="67DD61F8">
            <w:pPr>
              <w:jc w:val="left"/>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VolusonE8</w:t>
            </w:r>
          </w:p>
        </w:tc>
        <w:tc>
          <w:tcPr>
            <w:tcW w:w="899" w:type="pct"/>
          </w:tcPr>
          <w:p w14:paraId="565BD076">
            <w:pPr>
              <w:jc w:val="left"/>
              <w:rPr>
                <w:rFonts w:ascii="宋体" w:hAnsi="宋体" w:eastAsia="宋体" w:cs="宋体"/>
                <w:sz w:val="21"/>
                <w:szCs w:val="21"/>
              </w:rPr>
            </w:pPr>
            <w:r>
              <w:rPr>
                <w:rFonts w:hint="eastAsia" w:ascii="宋体" w:hAnsi="宋体" w:eastAsia="宋体" w:cs="宋体"/>
                <w:sz w:val="21"/>
                <w:szCs w:val="21"/>
              </w:rPr>
              <w:t>西安市阎良区人民医院</w:t>
            </w:r>
          </w:p>
        </w:tc>
        <w:tc>
          <w:tcPr>
            <w:tcW w:w="917" w:type="pct"/>
          </w:tcPr>
          <w:p w14:paraId="13F79746">
            <w:pPr>
              <w:jc w:val="left"/>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四维彩超主机升级及探头增配</w:t>
            </w:r>
          </w:p>
        </w:tc>
        <w:tc>
          <w:tcPr>
            <w:tcW w:w="859" w:type="pct"/>
            <w:shd w:val="clear" w:color="auto" w:fill="auto"/>
          </w:tcPr>
          <w:p w14:paraId="09995758">
            <w:pPr>
              <w:jc w:val="left"/>
              <w:rPr>
                <w:rFonts w:ascii="宋体" w:hAnsi="宋体" w:eastAsia="宋体" w:cs="宋体"/>
                <w:sz w:val="21"/>
                <w:szCs w:val="21"/>
              </w:rPr>
            </w:pPr>
          </w:p>
        </w:tc>
        <w:tc>
          <w:tcPr>
            <w:tcW w:w="842" w:type="pct"/>
            <w:shd w:val="clear" w:color="auto" w:fill="auto"/>
          </w:tcPr>
          <w:p w14:paraId="3CFC6A7C">
            <w:pPr>
              <w:jc w:val="left"/>
              <w:rPr>
                <w:rFonts w:ascii="宋体" w:hAnsi="宋体" w:eastAsia="宋体" w:cs="宋体"/>
                <w:sz w:val="21"/>
                <w:szCs w:val="21"/>
              </w:rPr>
            </w:pPr>
          </w:p>
        </w:tc>
      </w:tr>
      <w:tr w14:paraId="2AC05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Pr>
          <w:p w14:paraId="202D6123">
            <w:pPr>
              <w:jc w:val="both"/>
              <w:rPr>
                <w:rFonts w:ascii="宋体" w:hAnsi="宋体" w:eastAsia="宋体" w:cs="宋体"/>
                <w:sz w:val="21"/>
                <w:szCs w:val="21"/>
              </w:rPr>
            </w:pPr>
            <w:r>
              <w:rPr>
                <w:rFonts w:hint="eastAsia" w:ascii="宋体" w:hAnsi="宋体" w:eastAsia="宋体" w:cs="宋体"/>
                <w:b/>
                <w:bCs/>
                <w:sz w:val="21"/>
                <w:szCs w:val="21"/>
              </w:rPr>
              <w:t>服务费用总价：人民币</w:t>
            </w:r>
            <w:r>
              <w:rPr>
                <w:rFonts w:hint="eastAsia" w:ascii="宋体" w:hAnsi="宋体" w:eastAsia="宋体" w:cs="宋体"/>
                <w:b/>
                <w:bCs/>
                <w:sz w:val="21"/>
                <w:szCs w:val="21"/>
                <w:highlight w:val="none"/>
                <w:u w:val="single"/>
                <w:lang w:val="en-US" w:eastAsia="zh-CN"/>
              </w:rPr>
              <w:t xml:space="preserve">     </w:t>
            </w:r>
            <w:r>
              <w:rPr>
                <w:rFonts w:ascii="宋体" w:hAnsi="宋体" w:eastAsia="宋体" w:cs="宋体"/>
                <w:b/>
                <w:sz w:val="21"/>
                <w:szCs w:val="21"/>
              </w:rPr>
              <w:t>元（大写:</w:t>
            </w:r>
            <w:r>
              <w:rPr>
                <w:rFonts w:hint="eastAsia" w:ascii="宋体" w:hAnsi="宋体" w:eastAsia="宋体" w:cs="宋体"/>
                <w:b/>
                <w:sz w:val="21"/>
                <w:szCs w:val="21"/>
                <w:u w:val="single"/>
                <w:lang w:val="en-US" w:eastAsia="zh-CN"/>
              </w:rPr>
              <w:t xml:space="preserve">     </w:t>
            </w:r>
            <w:r>
              <w:rPr>
                <w:rFonts w:ascii="宋体" w:hAnsi="宋体" w:eastAsia="宋体" w:cs="宋体"/>
                <w:b/>
                <w:sz w:val="21"/>
                <w:szCs w:val="21"/>
              </w:rPr>
              <w:t>）</w:t>
            </w:r>
          </w:p>
        </w:tc>
      </w:tr>
    </w:tbl>
    <w:p w14:paraId="1A836ED4">
      <w:pPr>
        <w:numPr>
          <w:ilvl w:val="0"/>
          <w:numId w:val="0"/>
        </w:numPr>
        <w:spacing w:line="360" w:lineRule="auto"/>
        <w:rPr>
          <w:rFonts w:ascii="宋体" w:hAnsi="宋体" w:eastAsia="宋体" w:cs="宋体"/>
          <w:b w:val="0"/>
          <w:bCs w:val="0"/>
          <w:sz w:val="21"/>
          <w:szCs w:val="21"/>
        </w:rPr>
      </w:pPr>
      <w:r>
        <w:rPr>
          <w:rFonts w:ascii="宋体" w:hAnsi="宋体" w:eastAsia="宋体" w:cs="宋体"/>
          <w:b w:val="0"/>
          <w:bCs w:val="0"/>
          <w:sz w:val="21"/>
          <w:szCs w:val="21"/>
          <w:lang w:val="en-US" w:eastAsia="en-US" w:bidi="ar-SA"/>
        </w:rPr>
        <w:t>2.</w:t>
      </w:r>
      <w:r>
        <w:rPr>
          <w:rFonts w:hint="eastAsia" w:ascii="宋体" w:hAnsi="宋体" w:eastAsia="宋体" w:cs="宋体"/>
          <w:b w:val="0"/>
          <w:bCs w:val="0"/>
          <w:sz w:val="21"/>
          <w:szCs w:val="21"/>
        </w:rPr>
        <w:t>服务内容</w:t>
      </w:r>
    </w:p>
    <w:p w14:paraId="46FE00B9">
      <w:pPr>
        <w:spacing w:line="360" w:lineRule="auto"/>
        <w:rPr>
          <w:rFonts w:hint="default" w:eastAsia="宋体"/>
          <w:sz w:val="21"/>
          <w:szCs w:val="21"/>
          <w:lang w:val="en-US" w:eastAsia="zh-CN"/>
        </w:rPr>
      </w:pPr>
      <w:r>
        <w:rPr>
          <w:rFonts w:hint="eastAsia"/>
          <w:sz w:val="21"/>
          <w:szCs w:val="21"/>
        </w:rPr>
        <w:t>2.1服务内容：</w:t>
      </w:r>
      <w:r>
        <w:rPr>
          <w:rFonts w:hint="eastAsia"/>
          <w:sz w:val="21"/>
          <w:szCs w:val="21"/>
          <w:lang w:val="en-US" w:eastAsia="zh-CN"/>
        </w:rPr>
        <w:t>具体详见采购文件。</w:t>
      </w:r>
    </w:p>
    <w:p w14:paraId="00E08C35">
      <w:pPr>
        <w:spacing w:line="360" w:lineRule="auto"/>
        <w:rPr>
          <w:rFonts w:hint="eastAsia"/>
          <w:sz w:val="21"/>
          <w:szCs w:val="21"/>
        </w:rPr>
      </w:pPr>
      <w:r>
        <w:rPr>
          <w:rFonts w:hint="eastAsia"/>
          <w:sz w:val="21"/>
          <w:szCs w:val="21"/>
        </w:rPr>
        <w:t>3、付款方式：</w:t>
      </w:r>
    </w:p>
    <w:p w14:paraId="49A9A53F">
      <w:pPr>
        <w:spacing w:line="360" w:lineRule="auto"/>
        <w:rPr>
          <w:rFonts w:hint="eastAsia"/>
          <w:sz w:val="21"/>
          <w:szCs w:val="21"/>
          <w:lang w:val="en-US" w:eastAsia="zh-CN"/>
        </w:rPr>
      </w:pPr>
      <w:r>
        <w:rPr>
          <w:rFonts w:hint="eastAsia"/>
          <w:sz w:val="21"/>
          <w:szCs w:val="21"/>
          <w:lang w:val="en-US" w:eastAsia="zh-CN"/>
        </w:rPr>
        <w:t>3.1 支付方式：银行转账</w:t>
      </w:r>
    </w:p>
    <w:p w14:paraId="16764536">
      <w:pPr>
        <w:spacing w:line="360" w:lineRule="auto"/>
        <w:rPr>
          <w:rFonts w:hint="eastAsia"/>
          <w:sz w:val="21"/>
          <w:szCs w:val="21"/>
          <w:lang w:val="en-US" w:eastAsia="zh-CN"/>
        </w:rPr>
      </w:pPr>
      <w:r>
        <w:rPr>
          <w:rFonts w:hint="eastAsia"/>
          <w:sz w:val="21"/>
          <w:szCs w:val="21"/>
          <w:lang w:val="en-US" w:eastAsia="zh-CN"/>
        </w:rPr>
        <w:t>3.2 结算方式：</w:t>
      </w:r>
    </w:p>
    <w:p w14:paraId="5E60526B">
      <w:pPr>
        <w:spacing w:line="360" w:lineRule="auto"/>
        <w:rPr>
          <w:rFonts w:hint="eastAsia"/>
          <w:sz w:val="21"/>
          <w:szCs w:val="21"/>
          <w:lang w:val="en-US" w:eastAsia="zh-CN"/>
        </w:rPr>
      </w:pPr>
      <w:r>
        <w:rPr>
          <w:rFonts w:hint="eastAsia"/>
          <w:sz w:val="21"/>
          <w:szCs w:val="21"/>
          <w:lang w:val="en-US" w:eastAsia="zh-CN"/>
        </w:rPr>
        <w:t>3.2.1 项目验收合格后，达到付款条件起10日内，支付合同总金额的 70.00%。</w:t>
      </w:r>
    </w:p>
    <w:p w14:paraId="2BAFAEB7">
      <w:pPr>
        <w:spacing w:line="360" w:lineRule="auto"/>
        <w:rPr>
          <w:rFonts w:hint="eastAsia"/>
          <w:sz w:val="21"/>
          <w:szCs w:val="21"/>
          <w:lang w:val="en-US" w:eastAsia="zh-CN"/>
        </w:rPr>
      </w:pPr>
      <w:r>
        <w:rPr>
          <w:rFonts w:hint="eastAsia"/>
          <w:sz w:val="21"/>
          <w:szCs w:val="21"/>
          <w:lang w:val="en-US" w:eastAsia="zh-CN"/>
        </w:rPr>
        <w:t>3.2.2 合同签订半年后，达到付款条件起10日内，支付合同总金额的 25.00%</w:t>
      </w:r>
    </w:p>
    <w:p w14:paraId="42163645">
      <w:pPr>
        <w:spacing w:line="360" w:lineRule="auto"/>
        <w:rPr>
          <w:rFonts w:hint="eastAsia"/>
          <w:color w:val="auto"/>
          <w:sz w:val="21"/>
          <w:szCs w:val="21"/>
          <w:highlight w:val="yellow"/>
        </w:rPr>
      </w:pPr>
      <w:r>
        <w:rPr>
          <w:rFonts w:hint="eastAsia"/>
          <w:sz w:val="21"/>
          <w:szCs w:val="21"/>
          <w:lang w:val="en-US" w:eastAsia="zh-CN"/>
        </w:rPr>
        <w:t>3.2.3 合同签订一年后，达到付款条件起10日内，支付合同总金额的 5.00%。</w:t>
      </w:r>
    </w:p>
    <w:p w14:paraId="69601D24">
      <w:pPr>
        <w:spacing w:line="360" w:lineRule="auto"/>
        <w:rPr>
          <w:rFonts w:hint="eastAsia"/>
          <w:color w:val="auto"/>
          <w:sz w:val="21"/>
          <w:szCs w:val="21"/>
        </w:rPr>
      </w:pPr>
      <w:r>
        <w:rPr>
          <w:rFonts w:hint="eastAsia"/>
          <w:color w:val="auto"/>
          <w:sz w:val="21"/>
          <w:szCs w:val="21"/>
        </w:rPr>
        <w:t>乙方帐户信息为：</w:t>
      </w:r>
    </w:p>
    <w:p w14:paraId="59110860">
      <w:pPr>
        <w:spacing w:line="360" w:lineRule="auto"/>
        <w:rPr>
          <w:rFonts w:hint="eastAsia"/>
          <w:color w:val="auto"/>
          <w:sz w:val="21"/>
          <w:szCs w:val="21"/>
        </w:rPr>
      </w:pPr>
      <w:r>
        <w:rPr>
          <w:rFonts w:hint="eastAsia"/>
          <w:color w:val="auto"/>
          <w:sz w:val="21"/>
          <w:szCs w:val="21"/>
        </w:rPr>
        <w:t>帐   户：</w:t>
      </w:r>
    </w:p>
    <w:p w14:paraId="46E154CE">
      <w:pPr>
        <w:spacing w:line="360" w:lineRule="auto"/>
        <w:rPr>
          <w:rFonts w:hint="eastAsia"/>
          <w:color w:val="auto"/>
          <w:sz w:val="21"/>
          <w:szCs w:val="21"/>
        </w:rPr>
      </w:pPr>
      <w:r>
        <w:rPr>
          <w:rFonts w:hint="eastAsia"/>
          <w:color w:val="auto"/>
          <w:sz w:val="21"/>
          <w:szCs w:val="21"/>
        </w:rPr>
        <w:t>帐   号：</w:t>
      </w:r>
    </w:p>
    <w:p w14:paraId="03BE02D5">
      <w:pPr>
        <w:spacing w:line="360" w:lineRule="auto"/>
        <w:rPr>
          <w:rFonts w:hint="eastAsia"/>
          <w:color w:val="auto"/>
          <w:sz w:val="21"/>
          <w:szCs w:val="21"/>
        </w:rPr>
      </w:pPr>
      <w:r>
        <w:rPr>
          <w:rFonts w:hint="eastAsia"/>
          <w:color w:val="auto"/>
          <w:sz w:val="21"/>
          <w:szCs w:val="21"/>
        </w:rPr>
        <w:t xml:space="preserve">开户行：  </w:t>
      </w:r>
    </w:p>
    <w:p w14:paraId="282E0170">
      <w:pPr>
        <w:spacing w:line="360" w:lineRule="auto"/>
        <w:rPr>
          <w:rFonts w:hint="eastAsia"/>
          <w:sz w:val="21"/>
          <w:szCs w:val="21"/>
        </w:rPr>
      </w:pPr>
      <w:r>
        <w:rPr>
          <w:rFonts w:hint="eastAsia"/>
          <w:sz w:val="21"/>
          <w:szCs w:val="21"/>
        </w:rPr>
        <w:t>4、</w:t>
      </w:r>
      <w:r>
        <w:rPr>
          <w:rFonts w:hint="eastAsia"/>
          <w:sz w:val="21"/>
          <w:szCs w:val="21"/>
          <w:lang w:val="en-US" w:eastAsia="zh-CN"/>
        </w:rPr>
        <w:t>服务</w:t>
      </w:r>
      <w:r>
        <w:rPr>
          <w:rFonts w:hint="eastAsia"/>
          <w:sz w:val="21"/>
          <w:szCs w:val="21"/>
        </w:rPr>
        <w:t>地点：</w:t>
      </w:r>
      <w:r>
        <w:rPr>
          <w:rFonts w:hint="eastAsia"/>
          <w:sz w:val="21"/>
          <w:szCs w:val="21"/>
          <w:u w:val="single"/>
          <w:lang w:val="en-US" w:eastAsia="zh-CN"/>
        </w:rPr>
        <w:t>采购人指定地点</w:t>
      </w:r>
      <w:r>
        <w:rPr>
          <w:rFonts w:hint="eastAsia"/>
          <w:sz w:val="21"/>
          <w:szCs w:val="21"/>
        </w:rPr>
        <w:t>。</w:t>
      </w:r>
    </w:p>
    <w:p w14:paraId="3882A1EB">
      <w:pPr>
        <w:spacing w:line="360" w:lineRule="auto"/>
        <w:rPr>
          <w:rFonts w:hint="eastAsia"/>
          <w:sz w:val="21"/>
          <w:szCs w:val="21"/>
        </w:rPr>
      </w:pPr>
      <w:r>
        <w:rPr>
          <w:rFonts w:hint="eastAsia"/>
          <w:sz w:val="21"/>
          <w:szCs w:val="21"/>
        </w:rPr>
        <w:t>5、包装：按乙方标准货物包装。</w:t>
      </w:r>
    </w:p>
    <w:p w14:paraId="02C70798">
      <w:pPr>
        <w:spacing w:line="360" w:lineRule="auto"/>
        <w:rPr>
          <w:rFonts w:hint="eastAsia"/>
          <w:sz w:val="21"/>
          <w:szCs w:val="21"/>
        </w:rPr>
      </w:pPr>
      <w:r>
        <w:rPr>
          <w:rFonts w:hint="eastAsia"/>
          <w:sz w:val="21"/>
          <w:szCs w:val="21"/>
        </w:rPr>
        <w:t>6、运输和保险：由乙方为甲方办理运输和保险，费用由乙方承担。</w:t>
      </w:r>
    </w:p>
    <w:p w14:paraId="70D37A38">
      <w:pPr>
        <w:spacing w:line="360" w:lineRule="auto"/>
        <w:rPr>
          <w:rFonts w:hint="eastAsia"/>
          <w:sz w:val="21"/>
          <w:szCs w:val="21"/>
        </w:rPr>
      </w:pPr>
      <w:r>
        <w:rPr>
          <w:rFonts w:hint="eastAsia"/>
          <w:sz w:val="21"/>
          <w:szCs w:val="21"/>
        </w:rPr>
        <w:t>7、质量保证：</w:t>
      </w:r>
    </w:p>
    <w:p w14:paraId="47EF7204">
      <w:pPr>
        <w:spacing w:line="360" w:lineRule="auto"/>
        <w:rPr>
          <w:rFonts w:hint="eastAsia"/>
          <w:sz w:val="21"/>
          <w:szCs w:val="21"/>
        </w:rPr>
      </w:pPr>
      <w:r>
        <w:rPr>
          <w:rFonts w:hint="eastAsia"/>
          <w:sz w:val="21"/>
          <w:szCs w:val="21"/>
        </w:rPr>
        <w:t>乙方保证本合同销售的软硬件升级套件及探头符合GE公司全球生产工艺方面的要求，没有任何材料和使用上的缺陷。</w:t>
      </w:r>
    </w:p>
    <w:p w14:paraId="7291326A">
      <w:pPr>
        <w:spacing w:line="360" w:lineRule="auto"/>
        <w:rPr>
          <w:rFonts w:hint="eastAsia"/>
          <w:sz w:val="21"/>
          <w:szCs w:val="21"/>
        </w:rPr>
      </w:pPr>
      <w:r>
        <w:rPr>
          <w:rFonts w:hint="eastAsia"/>
          <w:sz w:val="21"/>
          <w:szCs w:val="21"/>
        </w:rPr>
        <w:t>8、有限责任：</w:t>
      </w:r>
    </w:p>
    <w:p w14:paraId="3B582074">
      <w:pPr>
        <w:spacing w:line="360" w:lineRule="auto"/>
        <w:rPr>
          <w:rFonts w:hint="eastAsia"/>
          <w:sz w:val="21"/>
          <w:szCs w:val="21"/>
        </w:rPr>
      </w:pPr>
      <w:r>
        <w:rPr>
          <w:rFonts w:hint="eastAsia"/>
          <w:sz w:val="21"/>
          <w:szCs w:val="21"/>
        </w:rPr>
        <w:t>甲方同意乙方及其代表对下列损失不承担责任：</w:t>
      </w:r>
    </w:p>
    <w:p w14:paraId="3EB64286">
      <w:pPr>
        <w:spacing w:line="360" w:lineRule="auto"/>
        <w:rPr>
          <w:rFonts w:hint="eastAsia"/>
          <w:sz w:val="21"/>
          <w:szCs w:val="21"/>
        </w:rPr>
      </w:pPr>
      <w:r>
        <w:rPr>
          <w:rFonts w:hint="eastAsia"/>
          <w:sz w:val="21"/>
          <w:szCs w:val="21"/>
        </w:rPr>
        <w:t>1）公认的不可抗力事件造成的对备件的损坏（如地震等）；</w:t>
      </w:r>
    </w:p>
    <w:p w14:paraId="0A217284">
      <w:pPr>
        <w:spacing w:line="360" w:lineRule="auto"/>
        <w:rPr>
          <w:rFonts w:hint="eastAsia"/>
          <w:sz w:val="21"/>
          <w:szCs w:val="21"/>
        </w:rPr>
      </w:pPr>
      <w:r>
        <w:rPr>
          <w:rFonts w:hint="eastAsia"/>
          <w:sz w:val="21"/>
          <w:szCs w:val="21"/>
        </w:rPr>
        <w:t>2）所售零备件号码均由甲方直接提供，乙方只负责提供与零备件号相同的零备件，如零备件号码有误，乙方将不承担任何责任。</w:t>
      </w:r>
    </w:p>
    <w:p w14:paraId="50D67B7E">
      <w:pPr>
        <w:spacing w:line="360" w:lineRule="auto"/>
        <w:rPr>
          <w:rFonts w:hint="eastAsia"/>
          <w:sz w:val="21"/>
          <w:szCs w:val="21"/>
        </w:rPr>
      </w:pPr>
      <w:r>
        <w:rPr>
          <w:rFonts w:hint="eastAsia"/>
          <w:sz w:val="21"/>
          <w:szCs w:val="21"/>
        </w:rPr>
        <w:t>3）乙方在交付零备件时，甲方须检查零备件是否完好，零备件在交付甲方后，如有任何损坏，乙方将不承担任何责任。</w:t>
      </w:r>
    </w:p>
    <w:p w14:paraId="3E701F5B">
      <w:pPr>
        <w:spacing w:line="360" w:lineRule="auto"/>
        <w:rPr>
          <w:rFonts w:hint="eastAsia"/>
          <w:sz w:val="21"/>
          <w:szCs w:val="21"/>
        </w:rPr>
      </w:pPr>
      <w:r>
        <w:rPr>
          <w:rFonts w:hint="eastAsia"/>
          <w:sz w:val="21"/>
          <w:szCs w:val="21"/>
        </w:rPr>
        <w:t>9、信息保密：</w:t>
      </w:r>
    </w:p>
    <w:p w14:paraId="1FB6BA25">
      <w:pPr>
        <w:spacing w:line="360" w:lineRule="auto"/>
        <w:rPr>
          <w:rFonts w:hint="eastAsia"/>
          <w:sz w:val="21"/>
          <w:szCs w:val="21"/>
        </w:rPr>
      </w:pPr>
      <w:r>
        <w:rPr>
          <w:rFonts w:hint="eastAsia"/>
          <w:sz w:val="21"/>
          <w:szCs w:val="21"/>
        </w:rPr>
        <w:t>甲乙双方对合同、与本合同相关的其他信息均负有保密义务。未经另一方事先书面同意，任何一方不得将该信息的任何部分向任何第三方或社会公众披露。</w:t>
      </w:r>
    </w:p>
    <w:p w14:paraId="35E5073C">
      <w:pPr>
        <w:spacing w:line="360" w:lineRule="auto"/>
        <w:rPr>
          <w:rFonts w:hint="eastAsia"/>
          <w:sz w:val="21"/>
          <w:szCs w:val="21"/>
        </w:rPr>
      </w:pPr>
      <w:r>
        <w:rPr>
          <w:rFonts w:hint="eastAsia"/>
          <w:sz w:val="21"/>
          <w:szCs w:val="21"/>
        </w:rPr>
        <w:t>10、违约责任：</w:t>
      </w:r>
    </w:p>
    <w:p w14:paraId="758A1A00">
      <w:pPr>
        <w:spacing w:line="360" w:lineRule="auto"/>
        <w:rPr>
          <w:rFonts w:hint="eastAsia"/>
          <w:sz w:val="21"/>
          <w:szCs w:val="21"/>
        </w:rPr>
      </w:pPr>
      <w:r>
        <w:rPr>
          <w:rFonts w:hint="eastAsia"/>
          <w:sz w:val="21"/>
          <w:szCs w:val="21"/>
        </w:rPr>
        <w:t>1</w:t>
      </w:r>
      <w:r>
        <w:rPr>
          <w:rFonts w:hint="eastAsia"/>
          <w:sz w:val="21"/>
          <w:szCs w:val="21"/>
          <w:lang w:val="en-US" w:eastAsia="zh-CN"/>
        </w:rPr>
        <w:t>0</w:t>
      </w:r>
      <w:r>
        <w:rPr>
          <w:rFonts w:hint="eastAsia"/>
          <w:sz w:val="21"/>
          <w:szCs w:val="21"/>
        </w:rPr>
        <w:t>.1除不可抗力或乙方不可能控制的因素导致的情形外，因为乙方无故不履行合同或者履行合同不符合约定给甲方造成损失的，乙方负责赔偿直接损失，该损失赔偿额最高不超过本合同签署时双方约定的合同价款。</w:t>
      </w:r>
    </w:p>
    <w:p w14:paraId="4B4DF78E">
      <w:pPr>
        <w:spacing w:line="360" w:lineRule="auto"/>
        <w:rPr>
          <w:rFonts w:hint="eastAsia"/>
          <w:sz w:val="21"/>
          <w:szCs w:val="21"/>
        </w:rPr>
      </w:pPr>
      <w:r>
        <w:rPr>
          <w:rFonts w:hint="eastAsia"/>
          <w:sz w:val="21"/>
          <w:szCs w:val="21"/>
        </w:rPr>
        <w:t>1</w:t>
      </w:r>
      <w:r>
        <w:rPr>
          <w:rFonts w:hint="eastAsia"/>
          <w:sz w:val="21"/>
          <w:szCs w:val="21"/>
          <w:lang w:val="en-US" w:eastAsia="zh-CN"/>
        </w:rPr>
        <w:t>0</w:t>
      </w:r>
      <w:r>
        <w:rPr>
          <w:rFonts w:hint="eastAsia"/>
          <w:sz w:val="21"/>
          <w:szCs w:val="21"/>
        </w:rPr>
        <w:t>.2如因甲方或其代表使用不当（如违反操作手册所载规程操作）等原因而使乙方额外提供劳务或更换备件，乙方有权要求甲方承担因此发生的相关费用。</w:t>
      </w:r>
    </w:p>
    <w:p w14:paraId="078F52CB">
      <w:pPr>
        <w:spacing w:line="360" w:lineRule="auto"/>
        <w:rPr>
          <w:rFonts w:hint="eastAsia"/>
          <w:sz w:val="21"/>
          <w:szCs w:val="21"/>
        </w:rPr>
      </w:pPr>
      <w:r>
        <w:rPr>
          <w:rFonts w:hint="eastAsia"/>
          <w:sz w:val="21"/>
          <w:szCs w:val="21"/>
        </w:rPr>
        <w:t>11、争议的解决：</w:t>
      </w:r>
    </w:p>
    <w:p w14:paraId="5609E7C8">
      <w:pPr>
        <w:spacing w:line="360" w:lineRule="auto"/>
        <w:rPr>
          <w:rFonts w:hint="eastAsia"/>
          <w:sz w:val="21"/>
          <w:szCs w:val="21"/>
        </w:rPr>
      </w:pPr>
      <w:r>
        <w:rPr>
          <w:rFonts w:hint="eastAsia" w:ascii="宋体" w:hAnsi="宋体" w:eastAsia="宋体" w:cs="宋体"/>
          <w:sz w:val="21"/>
          <w:szCs w:val="21"/>
        </w:rPr>
        <w:t>本合同及与本合同相关的一切事项适用中华人民共和国法律。在履行本合同中出现的争议，双方应本着友好协商的原则解决争议。如协商不成时，任何一方均可就争议的事宜向甲方所在地人民法院进行诉讼解决。</w:t>
      </w:r>
    </w:p>
    <w:p w14:paraId="124417C9">
      <w:pPr>
        <w:spacing w:line="360" w:lineRule="auto"/>
        <w:rPr>
          <w:rFonts w:ascii="宋体" w:hAnsi="宋体" w:eastAsia="宋体" w:cs="宋体"/>
          <w:color w:val="000000"/>
          <w:sz w:val="21"/>
          <w:szCs w:val="21"/>
        </w:rPr>
      </w:pPr>
      <w:r>
        <w:rPr>
          <w:rFonts w:hint="eastAsia"/>
          <w:sz w:val="21"/>
          <w:szCs w:val="21"/>
        </w:rPr>
        <w:t>12、本协议一式</w:t>
      </w:r>
      <w:r>
        <w:rPr>
          <w:rFonts w:hint="eastAsia"/>
          <w:sz w:val="21"/>
          <w:szCs w:val="21"/>
          <w:u w:val="single"/>
          <w:lang w:val="en-US" w:eastAsia="zh-CN"/>
        </w:rPr>
        <w:t xml:space="preserve">   </w:t>
      </w:r>
      <w:r>
        <w:rPr>
          <w:rFonts w:hint="eastAsia"/>
          <w:sz w:val="21"/>
          <w:szCs w:val="21"/>
        </w:rPr>
        <w:t>份，经双方加盖公章后生效，甲方执</w:t>
      </w:r>
      <w:r>
        <w:rPr>
          <w:rFonts w:hint="eastAsia"/>
          <w:sz w:val="21"/>
          <w:szCs w:val="21"/>
          <w:u w:val="single"/>
          <w:lang w:val="en-US" w:eastAsia="zh-CN"/>
        </w:rPr>
        <w:t xml:space="preserve">  </w:t>
      </w:r>
      <w:r>
        <w:rPr>
          <w:rFonts w:hint="eastAsia"/>
          <w:sz w:val="21"/>
          <w:szCs w:val="21"/>
        </w:rPr>
        <w:t>份乙方执</w:t>
      </w:r>
      <w:r>
        <w:rPr>
          <w:rFonts w:hint="eastAsia"/>
          <w:sz w:val="21"/>
          <w:szCs w:val="21"/>
          <w:u w:val="single"/>
          <w:lang w:val="en-US" w:eastAsia="zh-CN"/>
        </w:rPr>
        <w:t xml:space="preserve">  </w:t>
      </w:r>
      <w:r>
        <w:rPr>
          <w:rFonts w:hint="eastAsia"/>
          <w:sz w:val="21"/>
          <w:szCs w:val="21"/>
        </w:rPr>
        <w:t>份，具有同等法律效力。（以下无正文）。</w:t>
      </w:r>
      <w:r>
        <w:rPr>
          <w:rFonts w:hint="eastAsia" w:ascii="宋体" w:hAnsi="宋体" w:eastAsia="宋体" w:cs="宋体"/>
          <w:color w:val="000000"/>
          <w:sz w:val="21"/>
          <w:szCs w:val="21"/>
        </w:rPr>
        <w:t>  </w:t>
      </w:r>
    </w:p>
    <w:tbl>
      <w:tblPr>
        <w:tblStyle w:val="6"/>
        <w:tblW w:w="8403" w:type="dxa"/>
        <w:jc w:val="center"/>
        <w:tblLayout w:type="fixed"/>
        <w:tblCellMar>
          <w:top w:w="0" w:type="dxa"/>
          <w:left w:w="108" w:type="dxa"/>
          <w:bottom w:w="0" w:type="dxa"/>
          <w:right w:w="108" w:type="dxa"/>
        </w:tblCellMar>
      </w:tblPr>
      <w:tblGrid>
        <w:gridCol w:w="4201"/>
        <w:gridCol w:w="4202"/>
      </w:tblGrid>
      <w:tr w14:paraId="56CAD3A7">
        <w:tblPrEx>
          <w:tblCellMar>
            <w:top w:w="0" w:type="dxa"/>
            <w:left w:w="108" w:type="dxa"/>
            <w:bottom w:w="0" w:type="dxa"/>
            <w:right w:w="108" w:type="dxa"/>
          </w:tblCellMar>
        </w:tblPrEx>
        <w:trPr>
          <w:trHeight w:val="567" w:hRule="exact"/>
          <w:jc w:val="center"/>
        </w:trPr>
        <w:tc>
          <w:tcPr>
            <w:tcW w:w="4201" w:type="dxa"/>
            <w:vAlign w:val="center"/>
          </w:tcPr>
          <w:p w14:paraId="5F7F158C">
            <w:pPr>
              <w:adjustRightInd w:val="0"/>
              <w:snapToGrid w:val="0"/>
              <w:spacing w:line="372" w:lineRule="auto"/>
              <w:rPr>
                <w:rFonts w:cs="仿宋_GB2312"/>
                <w:bCs/>
                <w:sz w:val="21"/>
                <w:szCs w:val="21"/>
              </w:rPr>
            </w:pPr>
            <w:r>
              <w:rPr>
                <w:rFonts w:hint="eastAsia" w:cs="仿宋_GB2312"/>
                <w:bCs/>
                <w:sz w:val="21"/>
                <w:szCs w:val="21"/>
              </w:rPr>
              <w:t>甲  方</w:t>
            </w:r>
          </w:p>
        </w:tc>
        <w:tc>
          <w:tcPr>
            <w:tcW w:w="4202" w:type="dxa"/>
            <w:vAlign w:val="center"/>
          </w:tcPr>
          <w:p w14:paraId="09BB3ED8">
            <w:pPr>
              <w:adjustRightInd w:val="0"/>
              <w:snapToGrid w:val="0"/>
              <w:spacing w:line="372" w:lineRule="auto"/>
              <w:rPr>
                <w:rFonts w:cs="仿宋_GB2312"/>
                <w:bCs/>
                <w:sz w:val="21"/>
                <w:szCs w:val="21"/>
              </w:rPr>
            </w:pPr>
            <w:r>
              <w:rPr>
                <w:rFonts w:hint="eastAsia" w:cs="仿宋_GB2312"/>
                <w:bCs/>
                <w:sz w:val="21"/>
                <w:szCs w:val="21"/>
              </w:rPr>
              <w:t>乙  方</w:t>
            </w:r>
          </w:p>
        </w:tc>
      </w:tr>
      <w:tr w14:paraId="57FEEFDB">
        <w:tblPrEx>
          <w:tblCellMar>
            <w:top w:w="0" w:type="dxa"/>
            <w:left w:w="108" w:type="dxa"/>
            <w:bottom w:w="0" w:type="dxa"/>
            <w:right w:w="108" w:type="dxa"/>
          </w:tblCellMar>
        </w:tblPrEx>
        <w:trPr>
          <w:trHeight w:val="567" w:hRule="exact"/>
          <w:jc w:val="center"/>
        </w:trPr>
        <w:tc>
          <w:tcPr>
            <w:tcW w:w="4201" w:type="dxa"/>
            <w:vAlign w:val="center"/>
          </w:tcPr>
          <w:p w14:paraId="4A1D699F">
            <w:pPr>
              <w:adjustRightInd w:val="0"/>
              <w:snapToGrid w:val="0"/>
              <w:spacing w:line="372" w:lineRule="auto"/>
              <w:rPr>
                <w:rFonts w:cs="仿宋_GB2312"/>
                <w:bCs/>
                <w:sz w:val="21"/>
                <w:szCs w:val="21"/>
              </w:rPr>
            </w:pPr>
            <w:r>
              <w:rPr>
                <w:rFonts w:hint="eastAsia" w:cs="仿宋_GB2312"/>
                <w:bCs/>
                <w:sz w:val="21"/>
                <w:szCs w:val="21"/>
              </w:rPr>
              <w:t>（盖章）</w:t>
            </w:r>
          </w:p>
        </w:tc>
        <w:tc>
          <w:tcPr>
            <w:tcW w:w="4202" w:type="dxa"/>
            <w:vAlign w:val="center"/>
          </w:tcPr>
          <w:p w14:paraId="793B691E">
            <w:pPr>
              <w:adjustRightInd w:val="0"/>
              <w:snapToGrid w:val="0"/>
              <w:spacing w:line="372" w:lineRule="auto"/>
              <w:rPr>
                <w:rFonts w:cs="仿宋_GB2312"/>
                <w:bCs/>
                <w:sz w:val="21"/>
                <w:szCs w:val="21"/>
              </w:rPr>
            </w:pPr>
            <w:r>
              <w:rPr>
                <w:rFonts w:hint="eastAsia" w:cs="仿宋_GB2312"/>
                <w:bCs/>
                <w:sz w:val="21"/>
                <w:szCs w:val="21"/>
              </w:rPr>
              <w:t>（盖章）</w:t>
            </w:r>
          </w:p>
        </w:tc>
      </w:tr>
      <w:tr w14:paraId="6D8C499C">
        <w:tblPrEx>
          <w:tblCellMar>
            <w:top w:w="0" w:type="dxa"/>
            <w:left w:w="108" w:type="dxa"/>
            <w:bottom w:w="0" w:type="dxa"/>
            <w:right w:w="108" w:type="dxa"/>
          </w:tblCellMar>
        </w:tblPrEx>
        <w:trPr>
          <w:trHeight w:val="567" w:hRule="exact"/>
          <w:jc w:val="center"/>
        </w:trPr>
        <w:tc>
          <w:tcPr>
            <w:tcW w:w="4201" w:type="dxa"/>
            <w:vAlign w:val="center"/>
          </w:tcPr>
          <w:p w14:paraId="06043413">
            <w:pPr>
              <w:adjustRightInd w:val="0"/>
              <w:snapToGrid w:val="0"/>
              <w:spacing w:line="372" w:lineRule="auto"/>
              <w:rPr>
                <w:rFonts w:cs="仿宋_GB2312"/>
                <w:bCs/>
                <w:sz w:val="21"/>
                <w:szCs w:val="21"/>
              </w:rPr>
            </w:pPr>
            <w:r>
              <w:rPr>
                <w:rFonts w:hint="eastAsia" w:cs="仿宋_GB2312"/>
                <w:bCs/>
                <w:sz w:val="21"/>
                <w:szCs w:val="21"/>
              </w:rPr>
              <w:t xml:space="preserve">地址： </w:t>
            </w:r>
          </w:p>
        </w:tc>
        <w:tc>
          <w:tcPr>
            <w:tcW w:w="4202" w:type="dxa"/>
            <w:vAlign w:val="center"/>
          </w:tcPr>
          <w:p w14:paraId="42B4426E">
            <w:pPr>
              <w:adjustRightInd w:val="0"/>
              <w:snapToGrid w:val="0"/>
              <w:spacing w:line="372" w:lineRule="auto"/>
              <w:rPr>
                <w:rFonts w:cs="仿宋_GB2312"/>
                <w:bCs/>
                <w:sz w:val="21"/>
                <w:szCs w:val="21"/>
              </w:rPr>
            </w:pPr>
            <w:r>
              <w:rPr>
                <w:rFonts w:hint="eastAsia" w:cs="仿宋_GB2312"/>
                <w:bCs/>
                <w:sz w:val="21"/>
                <w:szCs w:val="21"/>
              </w:rPr>
              <w:t>地址：</w:t>
            </w:r>
          </w:p>
        </w:tc>
      </w:tr>
      <w:tr w14:paraId="5F3BC9C2">
        <w:tblPrEx>
          <w:tblCellMar>
            <w:top w:w="0" w:type="dxa"/>
            <w:left w:w="108" w:type="dxa"/>
            <w:bottom w:w="0" w:type="dxa"/>
            <w:right w:w="108" w:type="dxa"/>
          </w:tblCellMar>
        </w:tblPrEx>
        <w:trPr>
          <w:trHeight w:val="567" w:hRule="exact"/>
          <w:jc w:val="center"/>
        </w:trPr>
        <w:tc>
          <w:tcPr>
            <w:tcW w:w="4201" w:type="dxa"/>
            <w:vAlign w:val="center"/>
          </w:tcPr>
          <w:p w14:paraId="160C18CF">
            <w:pPr>
              <w:adjustRightInd w:val="0"/>
              <w:snapToGrid w:val="0"/>
              <w:spacing w:line="372" w:lineRule="auto"/>
              <w:rPr>
                <w:rFonts w:cs="仿宋_GB2312"/>
                <w:bCs/>
                <w:sz w:val="21"/>
                <w:szCs w:val="21"/>
              </w:rPr>
            </w:pPr>
            <w:r>
              <w:rPr>
                <w:rFonts w:hint="eastAsia" w:cs="仿宋_GB2312"/>
                <w:bCs/>
                <w:sz w:val="21"/>
                <w:szCs w:val="21"/>
              </w:rPr>
              <w:t>邮编：</w:t>
            </w:r>
          </w:p>
        </w:tc>
        <w:tc>
          <w:tcPr>
            <w:tcW w:w="4202" w:type="dxa"/>
            <w:vAlign w:val="center"/>
          </w:tcPr>
          <w:p w14:paraId="39082649">
            <w:pPr>
              <w:adjustRightInd w:val="0"/>
              <w:snapToGrid w:val="0"/>
              <w:spacing w:line="372" w:lineRule="auto"/>
              <w:rPr>
                <w:rFonts w:cs="仿宋_GB2312"/>
                <w:bCs/>
                <w:sz w:val="21"/>
                <w:szCs w:val="21"/>
              </w:rPr>
            </w:pPr>
            <w:r>
              <w:rPr>
                <w:rFonts w:hint="eastAsia" w:cs="仿宋_GB2312"/>
                <w:bCs/>
                <w:sz w:val="21"/>
                <w:szCs w:val="21"/>
              </w:rPr>
              <w:t>邮编：</w:t>
            </w:r>
          </w:p>
        </w:tc>
      </w:tr>
      <w:tr w14:paraId="24A63318">
        <w:tblPrEx>
          <w:tblCellMar>
            <w:top w:w="0" w:type="dxa"/>
            <w:left w:w="108" w:type="dxa"/>
            <w:bottom w:w="0" w:type="dxa"/>
            <w:right w:w="108" w:type="dxa"/>
          </w:tblCellMar>
        </w:tblPrEx>
        <w:trPr>
          <w:trHeight w:val="567" w:hRule="exact"/>
          <w:jc w:val="center"/>
        </w:trPr>
        <w:tc>
          <w:tcPr>
            <w:tcW w:w="4201" w:type="dxa"/>
            <w:vAlign w:val="center"/>
          </w:tcPr>
          <w:p w14:paraId="75BDBA5D">
            <w:pPr>
              <w:adjustRightInd w:val="0"/>
              <w:snapToGrid w:val="0"/>
              <w:spacing w:line="372" w:lineRule="auto"/>
              <w:rPr>
                <w:rFonts w:cs="仿宋_GB2312"/>
                <w:bCs/>
                <w:sz w:val="21"/>
                <w:szCs w:val="21"/>
                <w:lang w:eastAsia="zh-CN"/>
              </w:rPr>
            </w:pPr>
            <w:r>
              <w:rPr>
                <w:rFonts w:hint="eastAsia" w:cs="仿宋_GB2312"/>
                <w:bCs/>
                <w:sz w:val="21"/>
                <w:szCs w:val="21"/>
                <w:lang w:eastAsia="zh-CN"/>
              </w:rPr>
              <w:t xml:space="preserve">法定代表人（或负责人）： </w:t>
            </w:r>
          </w:p>
        </w:tc>
        <w:tc>
          <w:tcPr>
            <w:tcW w:w="4202" w:type="dxa"/>
            <w:vAlign w:val="center"/>
          </w:tcPr>
          <w:p w14:paraId="3C2589D9">
            <w:pPr>
              <w:adjustRightInd w:val="0"/>
              <w:snapToGrid w:val="0"/>
              <w:spacing w:line="372" w:lineRule="auto"/>
              <w:rPr>
                <w:rFonts w:cs="仿宋_GB2312"/>
                <w:bCs/>
                <w:sz w:val="21"/>
                <w:szCs w:val="21"/>
                <w:lang w:eastAsia="zh-CN"/>
              </w:rPr>
            </w:pPr>
            <w:r>
              <w:rPr>
                <w:rFonts w:hint="eastAsia" w:cs="仿宋_GB2312"/>
                <w:bCs/>
                <w:sz w:val="21"/>
                <w:szCs w:val="21"/>
                <w:lang w:eastAsia="zh-CN"/>
              </w:rPr>
              <w:t>法定代表人（或负责人）：</w:t>
            </w:r>
          </w:p>
        </w:tc>
      </w:tr>
      <w:tr w14:paraId="3A0C55C4">
        <w:tblPrEx>
          <w:tblCellMar>
            <w:top w:w="0" w:type="dxa"/>
            <w:left w:w="108" w:type="dxa"/>
            <w:bottom w:w="0" w:type="dxa"/>
            <w:right w:w="108" w:type="dxa"/>
          </w:tblCellMar>
        </w:tblPrEx>
        <w:trPr>
          <w:trHeight w:val="567" w:hRule="exact"/>
          <w:jc w:val="center"/>
        </w:trPr>
        <w:tc>
          <w:tcPr>
            <w:tcW w:w="4201" w:type="dxa"/>
            <w:vAlign w:val="center"/>
          </w:tcPr>
          <w:p w14:paraId="72EA84B1">
            <w:pPr>
              <w:adjustRightInd w:val="0"/>
              <w:snapToGrid w:val="0"/>
              <w:spacing w:line="372" w:lineRule="auto"/>
              <w:rPr>
                <w:rFonts w:cs="仿宋_GB2312"/>
                <w:bCs/>
                <w:sz w:val="21"/>
                <w:szCs w:val="21"/>
              </w:rPr>
            </w:pPr>
            <w:r>
              <w:rPr>
                <w:rFonts w:hint="eastAsia" w:cs="仿宋_GB2312"/>
                <w:bCs/>
                <w:sz w:val="21"/>
                <w:szCs w:val="21"/>
                <w:lang w:eastAsia="zh-CN"/>
              </w:rPr>
              <w:t>或被授权人</w:t>
            </w:r>
            <w:r>
              <w:rPr>
                <w:rFonts w:hint="eastAsia" w:cs="仿宋_GB2312"/>
                <w:bCs/>
                <w:sz w:val="21"/>
                <w:szCs w:val="21"/>
              </w:rPr>
              <w:t>：</w:t>
            </w:r>
          </w:p>
        </w:tc>
        <w:tc>
          <w:tcPr>
            <w:tcW w:w="4202" w:type="dxa"/>
            <w:vAlign w:val="center"/>
          </w:tcPr>
          <w:p w14:paraId="660484A6">
            <w:pPr>
              <w:adjustRightInd w:val="0"/>
              <w:snapToGrid w:val="0"/>
              <w:spacing w:line="372" w:lineRule="auto"/>
              <w:rPr>
                <w:rFonts w:cs="仿宋_GB2312"/>
                <w:bCs/>
                <w:sz w:val="21"/>
                <w:szCs w:val="21"/>
              </w:rPr>
            </w:pPr>
            <w:r>
              <w:rPr>
                <w:rFonts w:hint="eastAsia" w:cs="仿宋_GB2312"/>
                <w:bCs/>
                <w:sz w:val="21"/>
                <w:szCs w:val="21"/>
                <w:lang w:eastAsia="zh-CN"/>
              </w:rPr>
              <w:t>或被授权人</w:t>
            </w:r>
            <w:r>
              <w:rPr>
                <w:rFonts w:hint="eastAsia" w:cs="仿宋_GB2312"/>
                <w:bCs/>
                <w:sz w:val="21"/>
                <w:szCs w:val="21"/>
              </w:rPr>
              <w:t>：</w:t>
            </w:r>
          </w:p>
        </w:tc>
      </w:tr>
      <w:tr w14:paraId="65BA84DB">
        <w:tblPrEx>
          <w:tblCellMar>
            <w:top w:w="0" w:type="dxa"/>
            <w:left w:w="108" w:type="dxa"/>
            <w:bottom w:w="0" w:type="dxa"/>
            <w:right w:w="108" w:type="dxa"/>
          </w:tblCellMar>
        </w:tblPrEx>
        <w:trPr>
          <w:trHeight w:val="567" w:hRule="exact"/>
          <w:jc w:val="center"/>
        </w:trPr>
        <w:tc>
          <w:tcPr>
            <w:tcW w:w="4201" w:type="dxa"/>
            <w:vAlign w:val="center"/>
          </w:tcPr>
          <w:p w14:paraId="73D2EB34">
            <w:pPr>
              <w:adjustRightInd w:val="0"/>
              <w:snapToGrid w:val="0"/>
              <w:spacing w:line="372" w:lineRule="auto"/>
              <w:rPr>
                <w:rFonts w:cs="仿宋_GB2312"/>
                <w:bCs/>
                <w:sz w:val="21"/>
                <w:szCs w:val="21"/>
              </w:rPr>
            </w:pPr>
            <w:r>
              <w:rPr>
                <w:rFonts w:hint="eastAsia" w:cs="仿宋_GB2312"/>
                <w:bCs/>
                <w:sz w:val="21"/>
                <w:szCs w:val="21"/>
              </w:rPr>
              <w:t>电话：</w:t>
            </w:r>
          </w:p>
        </w:tc>
        <w:tc>
          <w:tcPr>
            <w:tcW w:w="4202" w:type="dxa"/>
            <w:vAlign w:val="center"/>
          </w:tcPr>
          <w:p w14:paraId="26213443">
            <w:pPr>
              <w:adjustRightInd w:val="0"/>
              <w:snapToGrid w:val="0"/>
              <w:spacing w:line="372" w:lineRule="auto"/>
              <w:rPr>
                <w:rFonts w:cs="仿宋_GB2312"/>
                <w:bCs/>
                <w:sz w:val="21"/>
                <w:szCs w:val="21"/>
              </w:rPr>
            </w:pPr>
            <w:r>
              <w:rPr>
                <w:rFonts w:hint="eastAsia" w:cs="仿宋_GB2312"/>
                <w:bCs/>
                <w:sz w:val="21"/>
                <w:szCs w:val="21"/>
              </w:rPr>
              <w:t>电话：</w:t>
            </w:r>
          </w:p>
        </w:tc>
      </w:tr>
      <w:tr w14:paraId="0044B291">
        <w:tblPrEx>
          <w:tblCellMar>
            <w:top w:w="0" w:type="dxa"/>
            <w:left w:w="108" w:type="dxa"/>
            <w:bottom w:w="0" w:type="dxa"/>
            <w:right w:w="108" w:type="dxa"/>
          </w:tblCellMar>
        </w:tblPrEx>
        <w:trPr>
          <w:trHeight w:val="567" w:hRule="exact"/>
          <w:jc w:val="center"/>
        </w:trPr>
        <w:tc>
          <w:tcPr>
            <w:tcW w:w="4201" w:type="dxa"/>
            <w:vAlign w:val="center"/>
          </w:tcPr>
          <w:p w14:paraId="731FCEE8">
            <w:pPr>
              <w:adjustRightInd w:val="0"/>
              <w:snapToGrid w:val="0"/>
              <w:spacing w:line="372" w:lineRule="auto"/>
              <w:rPr>
                <w:rFonts w:cs="仿宋_GB2312"/>
                <w:bCs/>
                <w:sz w:val="21"/>
                <w:szCs w:val="21"/>
              </w:rPr>
            </w:pPr>
            <w:r>
              <w:rPr>
                <w:rFonts w:hint="eastAsia" w:cs="仿宋_GB2312"/>
                <w:bCs/>
                <w:sz w:val="21"/>
                <w:szCs w:val="21"/>
              </w:rPr>
              <w:t>传真：</w:t>
            </w:r>
          </w:p>
        </w:tc>
        <w:tc>
          <w:tcPr>
            <w:tcW w:w="4202" w:type="dxa"/>
            <w:vAlign w:val="center"/>
          </w:tcPr>
          <w:p w14:paraId="2460D14C">
            <w:pPr>
              <w:adjustRightInd w:val="0"/>
              <w:snapToGrid w:val="0"/>
              <w:spacing w:line="372" w:lineRule="auto"/>
              <w:rPr>
                <w:rFonts w:cs="仿宋_GB2312"/>
                <w:bCs/>
                <w:sz w:val="21"/>
                <w:szCs w:val="21"/>
              </w:rPr>
            </w:pPr>
            <w:r>
              <w:rPr>
                <w:rFonts w:hint="eastAsia" w:cs="仿宋_GB2312"/>
                <w:bCs/>
                <w:sz w:val="21"/>
                <w:szCs w:val="21"/>
              </w:rPr>
              <w:t>传真：</w:t>
            </w:r>
          </w:p>
        </w:tc>
      </w:tr>
      <w:tr w14:paraId="16B79143">
        <w:tblPrEx>
          <w:tblCellMar>
            <w:top w:w="0" w:type="dxa"/>
            <w:left w:w="108" w:type="dxa"/>
            <w:bottom w:w="0" w:type="dxa"/>
            <w:right w:w="108" w:type="dxa"/>
          </w:tblCellMar>
        </w:tblPrEx>
        <w:trPr>
          <w:trHeight w:val="567" w:hRule="exact"/>
          <w:jc w:val="center"/>
        </w:trPr>
        <w:tc>
          <w:tcPr>
            <w:tcW w:w="4201" w:type="dxa"/>
            <w:vAlign w:val="center"/>
          </w:tcPr>
          <w:p w14:paraId="02674944">
            <w:pPr>
              <w:adjustRightInd w:val="0"/>
              <w:snapToGrid w:val="0"/>
              <w:spacing w:line="372" w:lineRule="auto"/>
              <w:rPr>
                <w:rFonts w:cs="仿宋_GB2312"/>
                <w:bCs/>
                <w:sz w:val="21"/>
                <w:szCs w:val="21"/>
              </w:rPr>
            </w:pPr>
            <w:r>
              <w:rPr>
                <w:rFonts w:hint="eastAsia" w:cs="仿宋_GB2312"/>
                <w:bCs/>
                <w:sz w:val="21"/>
                <w:szCs w:val="21"/>
              </w:rPr>
              <w:t>开户银行：</w:t>
            </w:r>
          </w:p>
        </w:tc>
        <w:tc>
          <w:tcPr>
            <w:tcW w:w="4202" w:type="dxa"/>
            <w:vAlign w:val="center"/>
          </w:tcPr>
          <w:p w14:paraId="0A5D6AE2">
            <w:pPr>
              <w:adjustRightInd w:val="0"/>
              <w:snapToGrid w:val="0"/>
              <w:spacing w:line="372" w:lineRule="auto"/>
              <w:rPr>
                <w:rFonts w:cs="仿宋_GB2312"/>
                <w:bCs/>
                <w:sz w:val="21"/>
                <w:szCs w:val="21"/>
              </w:rPr>
            </w:pPr>
            <w:r>
              <w:rPr>
                <w:rFonts w:hint="eastAsia" w:cs="仿宋_GB2312"/>
                <w:bCs/>
                <w:sz w:val="21"/>
                <w:szCs w:val="21"/>
              </w:rPr>
              <w:t>开户银行：</w:t>
            </w:r>
          </w:p>
        </w:tc>
      </w:tr>
      <w:tr w14:paraId="02B2EFB8">
        <w:tblPrEx>
          <w:tblCellMar>
            <w:top w:w="0" w:type="dxa"/>
            <w:left w:w="108" w:type="dxa"/>
            <w:bottom w:w="0" w:type="dxa"/>
            <w:right w:w="108" w:type="dxa"/>
          </w:tblCellMar>
        </w:tblPrEx>
        <w:trPr>
          <w:trHeight w:val="567" w:hRule="exact"/>
          <w:jc w:val="center"/>
        </w:trPr>
        <w:tc>
          <w:tcPr>
            <w:tcW w:w="4201" w:type="dxa"/>
            <w:vAlign w:val="center"/>
          </w:tcPr>
          <w:p w14:paraId="5E3E7B6C">
            <w:pPr>
              <w:adjustRightInd w:val="0"/>
              <w:snapToGrid w:val="0"/>
              <w:spacing w:line="372" w:lineRule="auto"/>
              <w:rPr>
                <w:rFonts w:cs="仿宋_GB2312"/>
                <w:bCs/>
                <w:sz w:val="21"/>
                <w:szCs w:val="21"/>
              </w:rPr>
            </w:pPr>
            <w:r>
              <w:rPr>
                <w:rFonts w:hint="eastAsia" w:cs="仿宋_GB2312"/>
                <w:bCs/>
                <w:sz w:val="21"/>
                <w:szCs w:val="21"/>
              </w:rPr>
              <w:t>签订日期：</w:t>
            </w:r>
          </w:p>
        </w:tc>
        <w:tc>
          <w:tcPr>
            <w:tcW w:w="4202" w:type="dxa"/>
            <w:vAlign w:val="center"/>
          </w:tcPr>
          <w:p w14:paraId="5E47F734">
            <w:pPr>
              <w:adjustRightInd w:val="0"/>
              <w:snapToGrid w:val="0"/>
              <w:spacing w:line="372" w:lineRule="auto"/>
              <w:rPr>
                <w:rFonts w:cs="仿宋_GB2312"/>
                <w:bCs/>
                <w:sz w:val="21"/>
                <w:szCs w:val="21"/>
              </w:rPr>
            </w:pPr>
            <w:r>
              <w:rPr>
                <w:rFonts w:hint="eastAsia" w:cs="仿宋_GB2312"/>
                <w:bCs/>
                <w:sz w:val="21"/>
                <w:szCs w:val="21"/>
              </w:rPr>
              <w:t>签订日期：</w:t>
            </w:r>
          </w:p>
        </w:tc>
      </w:tr>
    </w:tbl>
    <w:p w14:paraId="755315C6">
      <w:pPr>
        <w:rPr>
          <w:rFonts w:ascii="宋体" w:hAnsi="宋体" w:eastAsia="宋体" w:cs="宋体"/>
          <w:color w:val="000000"/>
          <w:sz w:val="21"/>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424E3A"/>
    <w:rsid w:val="00013CF7"/>
    <w:rsid w:val="00026D3D"/>
    <w:rsid w:val="000906EF"/>
    <w:rsid w:val="000A005B"/>
    <w:rsid w:val="001029C0"/>
    <w:rsid w:val="00104580"/>
    <w:rsid w:val="00132645"/>
    <w:rsid w:val="00177F41"/>
    <w:rsid w:val="00180B8A"/>
    <w:rsid w:val="001F7414"/>
    <w:rsid w:val="00241DEF"/>
    <w:rsid w:val="002D22E7"/>
    <w:rsid w:val="00300D36"/>
    <w:rsid w:val="00424E3A"/>
    <w:rsid w:val="00437F11"/>
    <w:rsid w:val="004747D8"/>
    <w:rsid w:val="004A368F"/>
    <w:rsid w:val="004C0D81"/>
    <w:rsid w:val="005766C5"/>
    <w:rsid w:val="005A248B"/>
    <w:rsid w:val="005D4A18"/>
    <w:rsid w:val="0067509C"/>
    <w:rsid w:val="007C5993"/>
    <w:rsid w:val="00863FE3"/>
    <w:rsid w:val="009E1823"/>
    <w:rsid w:val="00B54E39"/>
    <w:rsid w:val="00D349E3"/>
    <w:rsid w:val="00D4265B"/>
    <w:rsid w:val="00DA612B"/>
    <w:rsid w:val="00DC5F5F"/>
    <w:rsid w:val="00DD04DE"/>
    <w:rsid w:val="00E211C1"/>
    <w:rsid w:val="00E53C74"/>
    <w:rsid w:val="00EF08B3"/>
    <w:rsid w:val="00EF3A9A"/>
    <w:rsid w:val="00FA3AD2"/>
    <w:rsid w:val="00FA6379"/>
    <w:rsid w:val="048A3876"/>
    <w:rsid w:val="0B5672AE"/>
    <w:rsid w:val="124D2729"/>
    <w:rsid w:val="1AF175F8"/>
    <w:rsid w:val="24DF73C1"/>
    <w:rsid w:val="270A5E62"/>
    <w:rsid w:val="2D41708D"/>
    <w:rsid w:val="2E1D237F"/>
    <w:rsid w:val="30DA46A9"/>
    <w:rsid w:val="36356EAC"/>
    <w:rsid w:val="377410D3"/>
    <w:rsid w:val="3B410B1F"/>
    <w:rsid w:val="509372E2"/>
    <w:rsid w:val="50C00780"/>
    <w:rsid w:val="58AD04D0"/>
    <w:rsid w:val="590442D5"/>
    <w:rsid w:val="5DE70C0E"/>
    <w:rsid w:val="6064285A"/>
    <w:rsid w:val="670010A8"/>
    <w:rsid w:val="6E1F0043"/>
    <w:rsid w:val="76885999"/>
    <w:rsid w:val="7AA86319"/>
    <w:rsid w:val="7E725B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footer"/>
    <w:basedOn w:val="1"/>
    <w:link w:val="10"/>
    <w:qFormat/>
    <w:uiPriority w:val="0"/>
    <w:pPr>
      <w:tabs>
        <w:tab w:val="center" w:pos="4153"/>
        <w:tab w:val="right" w:pos="8306"/>
      </w:tabs>
      <w:snapToGrid w:val="0"/>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rPr>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Char"/>
    <w:basedOn w:val="8"/>
    <w:link w:val="4"/>
    <w:qFormat/>
    <w:uiPriority w:val="0"/>
    <w:rPr>
      <w:rFonts w:ascii="宋体" w:hAnsi="宋体" w:cs="宋体"/>
      <w:sz w:val="18"/>
      <w:szCs w:val="18"/>
      <w:lang w:eastAsia="en-US"/>
    </w:rPr>
  </w:style>
  <w:style w:type="character" w:customStyle="1" w:styleId="10">
    <w:name w:val="页脚 Char"/>
    <w:basedOn w:val="8"/>
    <w:link w:val="3"/>
    <w:qFormat/>
    <w:uiPriority w:val="0"/>
    <w:rPr>
      <w:rFonts w:ascii="宋体" w:hAnsi="宋体" w:cs="宋体"/>
      <w:sz w:val="18"/>
      <w:szCs w:val="18"/>
      <w:lang w:eastAsia="en-US"/>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1170</Words>
  <Characters>1225</Characters>
  <Lines>17</Lines>
  <Paragraphs>4</Paragraphs>
  <TotalTime>1</TotalTime>
  <ScaleCrop>false</ScaleCrop>
  <LinksUpToDate>false</LinksUpToDate>
  <CharactersWithSpaces>1279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2023-10-08T08:49:00Z</dcterms:created>
  <dc:creator>Administrator</dc:creator>
  <cp:lastModifiedBy>潘乐</cp:lastModifiedBy>
  <dcterms:modified xsi:type="dcterms:W3CDTF">2025-08-27T03:45:03Z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F4CC971CEBD9416A9D849DD5A5FFB497_12</vt:lpwstr>
  </property>
  <property fmtid="{D5CDD505-2E9C-101B-9397-08002B2CF9AE}" pid="4" name="KSOTemplateDocerSaveRecord">
    <vt:lpwstr>eyJoZGlkIjoiOTM1ZDU5YWY2YWFhNzJlYjNjNTY5ZDQwNTAzNWEwYmMiLCJ1c2VySWQiOiIxNDYyMTI5MzQyIn0=</vt:lpwstr>
  </property>
</Properties>
</file>