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版本号：LZBE2025-115920250829001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联影860CT机维保（含AI软件）服务</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LZBE2025-1159</w:t>
      </w:r>
      <w:r>
        <w:br/>
      </w:r>
      <w:r>
        <w:br/>
      </w:r>
      <w:r>
        <w:br/>
      </w:r>
    </w:p>
    <w:p>
      <w:pPr>
        <w:pStyle w:val="null3"/>
        <w:jc w:val="center"/>
        <w:outlineLvl w:val="5"/>
      </w:pPr>
      <w:r>
        <w:rPr>
          <w:rFonts w:ascii="仿宋_GB2312" w:hAnsi="仿宋_GB2312" w:cs="仿宋_GB2312" w:eastAsia="仿宋_GB2312"/>
          <w:sz w:val="15"/>
          <w:b/>
        </w:rPr>
        <w:t>西安市阎良区人民医院</w:t>
      </w:r>
    </w:p>
    <w:p>
      <w:pPr>
        <w:pStyle w:val="null3"/>
        <w:jc w:val="center"/>
        <w:outlineLvl w:val="5"/>
      </w:pPr>
      <w:r>
        <w:rPr>
          <w:rFonts w:ascii="仿宋_GB2312" w:hAnsi="仿宋_GB2312" w:cs="仿宋_GB2312" w:eastAsia="仿宋_GB2312"/>
          <w:sz w:val="15"/>
          <w:b/>
        </w:rPr>
        <w:t>龙寰项目管理咨询有限公司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2025年08月29日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西安市阎良区人民医院</w:t>
      </w:r>
      <w:r>
        <w:rPr>
          <w:rFonts w:ascii="仿宋_GB2312" w:hAnsi="仿宋_GB2312" w:cs="仿宋_GB2312" w:eastAsia="仿宋_GB2312"/>
        </w:rPr>
        <w:t>委托，拟对</w:t>
      </w:r>
      <w:r>
        <w:rPr>
          <w:rFonts w:ascii="仿宋_GB2312" w:hAnsi="仿宋_GB2312" w:cs="仿宋_GB2312" w:eastAsia="仿宋_GB2312"/>
        </w:rPr>
        <w:t>联影860CT机维保（含AI软件）服务</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LZBE2025-1159</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联影860CT机维保（含AI软件）服务</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本项目拟为本院联影860CT进行维保维修及软件配置服务进行采购，由于设备价值较高，风险性较大，且联影设置后台密码保护，在维修过程中需要原厂与该设备配套相关专业工具，确保高质高效完成维保服务，故此项工作拟由联影厂家唯一授权指定经销商西安益民医疗设备有限公司承接本次服务。</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采购包1（西安市阎良区人民医院联影860CT机维保（含AI软件）服务）：属于专门面向中小企业采购。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法人或者其他组织提供营业执照、事业单位法人证书等证明文件，自然人提供身份证件，供应商需在项目电子化交易系统中按要求上传相应证明文件并进行电子签章</w:t>
      </w:r>
    </w:p>
    <w:p>
      <w:pPr>
        <w:pStyle w:val="null3"/>
      </w:pPr>
      <w:r>
        <w:rPr>
          <w:rFonts w:ascii="仿宋_GB2312" w:hAnsi="仿宋_GB2312" w:cs="仿宋_GB2312" w:eastAsia="仿宋_GB2312"/>
        </w:rPr>
        <w:t>2、身份证明文件：法定代表人（单位负责人）授权委托书（附法定代表人（单位负责人）、被授权人身份证复印件及被授权人近三个月（开标时间前连续三个月（不含开标当月））社保缴纳的证明资料）（法定代表人（单位负责人）直接参加的，须提供法定代表人（单位负责人）身份证明书及身份证复印件且与营业执照上信息须一致），供应商需在项目电子化交易系统中按要求上传相应证明文件并进行电子签章</w:t>
      </w:r>
    </w:p>
    <w:p>
      <w:pPr>
        <w:pStyle w:val="null3"/>
      </w:pPr>
      <w:r>
        <w:rPr>
          <w:rFonts w:ascii="仿宋_GB2312" w:hAnsi="仿宋_GB2312" w:cs="仿宋_GB2312" w:eastAsia="仿宋_GB2312"/>
        </w:rPr>
        <w:t>3、税收缴纳凭证及社会保险缴纳的凭证：供应商在本项目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并进行电子签章</w:t>
      </w:r>
    </w:p>
    <w:p>
      <w:pPr>
        <w:pStyle w:val="null3"/>
      </w:pPr>
      <w:r>
        <w:rPr>
          <w:rFonts w:ascii="仿宋_GB2312" w:hAnsi="仿宋_GB2312" w:cs="仿宋_GB2312" w:eastAsia="仿宋_GB2312"/>
        </w:rPr>
        <w:t>4、财务状况：供应商提供2024年度经审计的财务审计报告（事业法人可提供部门决算报告）；或提供开标日前三个月内基本存款账户银行出具的资信证明及基本存款账户银行相关证明资料；或提供政府采购专业担保机构出具的投标担保函，供应商需在项目电子化交易系统中按要求上传相应证明文件并进行电子签章</w:t>
      </w:r>
    </w:p>
    <w:p>
      <w:pPr>
        <w:pStyle w:val="null3"/>
      </w:pPr>
      <w:r>
        <w:rPr>
          <w:rFonts w:ascii="仿宋_GB2312" w:hAnsi="仿宋_GB2312" w:cs="仿宋_GB2312" w:eastAsia="仿宋_GB2312"/>
        </w:rPr>
        <w:t>5、参加政府采购活动前3年内在经营活动中没有重大违法记录的书面声明；其中：重大违法记录是指供应商因违法经营受到刑事处罚或者责令停产停业、吊销许可证或者执照、较大数额罚款等行政处罚：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6、履行合同所必需的设备和专业技术能力书面声明函：具有履行合同所必需的设备和专业技术能力书面声明函，供应商需在项目电子化交易系统中按要求上传相应证明文件并进行电子签章</w:t>
      </w:r>
    </w:p>
    <w:p>
      <w:pPr>
        <w:pStyle w:val="null3"/>
      </w:pPr>
      <w:r>
        <w:rPr>
          <w:rFonts w:ascii="仿宋_GB2312" w:hAnsi="仿宋_GB2312" w:cs="仿宋_GB2312" w:eastAsia="仿宋_GB2312"/>
        </w:rPr>
        <w:t>7、资质证书：供应商具有《医疗器械经营许可证》，供应商需在项目电子化交易系统中按要求上传相应证明文件并进行电子签章</w:t>
      </w:r>
    </w:p>
    <w:p>
      <w:pPr>
        <w:pStyle w:val="null3"/>
      </w:pPr>
      <w:r>
        <w:rPr>
          <w:rFonts w:ascii="仿宋_GB2312" w:hAnsi="仿宋_GB2312" w:cs="仿宋_GB2312" w:eastAsia="仿宋_GB2312"/>
        </w:rPr>
        <w:t>8、承诺要求：本项目不接受由西安市阎良区人民医院职工投资的企业参加，供应商需在项目电子化交易系统中按要求上传相应承诺函并进行电子签章</w:t>
      </w:r>
    </w:p>
    <w:p>
      <w:pPr>
        <w:pStyle w:val="null3"/>
      </w:pPr>
      <w:r>
        <w:rPr>
          <w:rFonts w:ascii="仿宋_GB2312" w:hAnsi="仿宋_GB2312" w:cs="仿宋_GB2312" w:eastAsia="仿宋_GB2312"/>
        </w:rPr>
        <w:t>9、供应商信用状况：供应商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网站查询结果为准</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西安市阎良区人民医院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胜利街康复巷9号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杨主任</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029-86866022</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西安市太白南路181号西部电子社区A座A区501室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潘乐、冀文博、刘强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029-88228899-655、650</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西安市阎良区政府采购管理股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郝智军</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029-86204415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采购包1：1,400,000.00元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采购包1：1,400,000.00元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代理服务费收费标准：1、本项目采购代理服务费以成交价作为收费基数，参照计价格[2002]1980号、发改价格[2011]534号、发改办价格〔2003〕857号中服务类执行。 2、成交单位在领取成交通知书之前，须向采购代理机构支付招标代理服务费。招标代理服务费以转账或现金形式缴纳至以下账户：开户名称：龙寰项目管理咨询有限公司；开户银行：平安银行西安高新路支行；账号：30201278017117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西安市阎良区人民医院</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西安市阎良区人民医院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满足国家及行业相关标准，满足采购文件要求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本项目拟为本院联影860CT进行维保维修及软件配置服务进行采购，由于设备价值较高，风险性较大，且联影设置后台密码保护，在维修过程中需要原厂与该设备配套相关专业工具，确保高质高效完成维保服务，故此项工作拟由联影厂家唯一授权指定经销商西安益民医疗设备有限公司承接本次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1,400,000.00</w:t>
      </w:r>
    </w:p>
    <w:p>
      <w:pPr>
        <w:pStyle w:val="null3"/>
      </w:pPr>
      <w:r>
        <w:rPr>
          <w:rFonts w:ascii="仿宋_GB2312" w:hAnsi="仿宋_GB2312" w:cs="仿宋_GB2312" w:eastAsia="仿宋_GB2312"/>
        </w:rPr>
        <w:t>采购包最高限价（元）: 1,400,000.00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联影860CT机维保（含AI软件）服务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标的名称：联影860CT机维保（含AI软件）服务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261"/>
              <w:gridCol w:w="636"/>
              <w:gridCol w:w="1655"/>
            </w:tblGrid>
            <w:tr>
              <w:tc>
                <w:tcPr>
                  <w:tcW w:type="dxa" w:w="2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序号</w:t>
                  </w:r>
                </w:p>
              </w:tc>
              <w:tc>
                <w:tcPr>
                  <w:tcW w:type="dxa" w:w="6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维保</w:t>
                  </w:r>
                  <w:r>
                    <w:rPr>
                      <w:rFonts w:ascii="仿宋_GB2312" w:hAnsi="仿宋_GB2312" w:cs="仿宋_GB2312" w:eastAsia="仿宋_GB2312"/>
                      <w:sz w:val="19"/>
                    </w:rPr>
                    <w:t>/</w:t>
                  </w:r>
                  <w:r>
                    <w:rPr>
                      <w:rFonts w:ascii="仿宋_GB2312" w:hAnsi="仿宋_GB2312" w:cs="仿宋_GB2312" w:eastAsia="仿宋_GB2312"/>
                      <w:sz w:val="19"/>
                    </w:rPr>
                    <w:t>软件</w:t>
                  </w:r>
                  <w:r>
                    <w:rPr>
                      <w:rFonts w:ascii="仿宋_GB2312" w:hAnsi="仿宋_GB2312" w:cs="仿宋_GB2312" w:eastAsia="仿宋_GB2312"/>
                      <w:sz w:val="19"/>
                    </w:rPr>
                    <w:t>性能</w:t>
                  </w:r>
                </w:p>
              </w:tc>
              <w:tc>
                <w:tcPr>
                  <w:tcW w:type="dxa" w:w="16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具体要求</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CT</w:t>
                  </w:r>
                  <w:r>
                    <w:rPr>
                      <w:rFonts w:ascii="仿宋_GB2312" w:hAnsi="仿宋_GB2312" w:cs="仿宋_GB2312" w:eastAsia="仿宋_GB2312"/>
                      <w:sz w:val="19"/>
                    </w:rPr>
                    <w:t>860有限保</w:t>
                  </w:r>
                </w:p>
              </w:tc>
              <w:tc>
                <w:tcPr>
                  <w:tcW w:type="dxa" w:w="1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r>
                    <w:rPr>
                      <w:rFonts w:ascii="仿宋_GB2312" w:hAnsi="仿宋_GB2312" w:cs="仿宋_GB2312" w:eastAsia="仿宋_GB2312"/>
                      <w:sz w:val="19"/>
                    </w:rPr>
                    <w:t>.提供后台数据查询功能（如随时查询球管秒次、人次），随时了解设备后台运行情况</w:t>
                  </w:r>
                </w:p>
                <w:p>
                  <w:pPr>
                    <w:pStyle w:val="null3"/>
                  </w:pPr>
                  <w:r>
                    <w:rPr>
                      <w:rFonts w:ascii="仿宋_GB2312" w:hAnsi="仿宋_GB2312" w:cs="仿宋_GB2312" w:eastAsia="仿宋_GB2312"/>
                      <w:sz w:val="19"/>
                    </w:rPr>
                    <w:t>2</w:t>
                  </w:r>
                  <w:r>
                    <w:rPr>
                      <w:rFonts w:ascii="仿宋_GB2312" w:hAnsi="仿宋_GB2312" w:cs="仿宋_GB2312" w:eastAsia="仿宋_GB2312"/>
                      <w:sz w:val="19"/>
                    </w:rPr>
                    <w:t>.</w:t>
                  </w:r>
                  <w:r>
                    <w:rPr>
                      <w:rFonts w:ascii="仿宋_GB2312" w:hAnsi="仿宋_GB2312" w:cs="仿宋_GB2312" w:eastAsia="仿宋_GB2312"/>
                      <w:sz w:val="19"/>
                    </w:rPr>
                    <w:t>整机质保（</w:t>
                  </w:r>
                  <w:r>
                    <w:rPr>
                      <w:rFonts w:ascii="仿宋_GB2312" w:hAnsi="仿宋_GB2312" w:cs="仿宋_GB2312" w:eastAsia="仿宋_GB2312"/>
                      <w:sz w:val="19"/>
                    </w:rPr>
                    <w:t>联影厂家提供的所有设备、设施；</w:t>
                  </w:r>
                  <w:r>
                    <w:rPr>
                      <w:rFonts w:ascii="仿宋_GB2312" w:hAnsi="仿宋_GB2312" w:cs="仿宋_GB2312" w:eastAsia="仿宋_GB2312"/>
                      <w:sz w:val="19"/>
                    </w:rPr>
                    <w:t>球管，高压发生器，探测器模块</w:t>
                  </w:r>
                  <w:r>
                    <w:rPr>
                      <w:rFonts w:ascii="仿宋_GB2312" w:hAnsi="仿宋_GB2312" w:cs="仿宋_GB2312" w:eastAsia="仿宋_GB2312"/>
                      <w:sz w:val="19"/>
                    </w:rPr>
                    <w:t>除外</w:t>
                  </w:r>
                  <w:r>
                    <w:rPr>
                      <w:rFonts w:ascii="仿宋_GB2312" w:hAnsi="仿宋_GB2312" w:cs="仿宋_GB2312" w:eastAsia="仿宋_GB2312"/>
                      <w:sz w:val="19"/>
                    </w:rPr>
                    <w:t>）不包含三方产品</w:t>
                  </w:r>
                </w:p>
                <w:p>
                  <w:pPr>
                    <w:pStyle w:val="null3"/>
                  </w:pPr>
                  <w:r>
                    <w:rPr>
                      <w:rFonts w:ascii="仿宋_GB2312" w:hAnsi="仿宋_GB2312" w:cs="仿宋_GB2312" w:eastAsia="仿宋_GB2312"/>
                      <w:sz w:val="19"/>
                    </w:rPr>
                    <w:t>3</w:t>
                  </w:r>
                  <w:r>
                    <w:rPr>
                      <w:rFonts w:ascii="仿宋_GB2312" w:hAnsi="仿宋_GB2312" w:cs="仿宋_GB2312" w:eastAsia="仿宋_GB2312"/>
                      <w:sz w:val="19"/>
                    </w:rPr>
                    <w:t>.</w:t>
                  </w:r>
                  <w:r>
                    <w:rPr>
                      <w:rFonts w:ascii="仿宋_GB2312" w:hAnsi="仿宋_GB2312" w:cs="仿宋_GB2312" w:eastAsia="仿宋_GB2312"/>
                      <w:sz w:val="19"/>
                    </w:rPr>
                    <w:t>在线支持：</w:t>
                  </w:r>
                  <w:r>
                    <w:rPr>
                      <w:rFonts w:ascii="仿宋_GB2312" w:hAnsi="仿宋_GB2312" w:cs="仿宋_GB2312" w:eastAsia="仿宋_GB2312"/>
                      <w:sz w:val="19"/>
                    </w:rPr>
                    <w:t>24小时*365天的热线服务。拨打维修热线后安排资深工程师在线技术支持、答疑，即时诊断机器故障，制定维修方案</w:t>
                  </w:r>
                </w:p>
                <w:p>
                  <w:pPr>
                    <w:pStyle w:val="null3"/>
                  </w:pPr>
                  <w:r>
                    <w:rPr>
                      <w:rFonts w:ascii="仿宋_GB2312" w:hAnsi="仿宋_GB2312" w:cs="仿宋_GB2312" w:eastAsia="仿宋_GB2312"/>
                      <w:sz w:val="19"/>
                    </w:rPr>
                    <w:t>4</w:t>
                  </w:r>
                  <w:r>
                    <w:rPr>
                      <w:rFonts w:ascii="仿宋_GB2312" w:hAnsi="仿宋_GB2312" w:cs="仿宋_GB2312" w:eastAsia="仿宋_GB2312"/>
                      <w:sz w:val="19"/>
                    </w:rPr>
                    <w:t>.</w:t>
                  </w:r>
                  <w:r>
                    <w:rPr>
                      <w:rFonts w:ascii="仿宋_GB2312" w:hAnsi="仿宋_GB2312" w:cs="仿宋_GB2312" w:eastAsia="仿宋_GB2312"/>
                      <w:sz w:val="19"/>
                    </w:rPr>
                    <w:t>现场检修：接到报修后</w:t>
                  </w:r>
                  <w:r>
                    <w:rPr>
                      <w:rFonts w:ascii="仿宋_GB2312" w:hAnsi="仿宋_GB2312" w:cs="仿宋_GB2312" w:eastAsia="仿宋_GB2312"/>
                      <w:sz w:val="19"/>
                    </w:rPr>
                    <w:t>12小时内派遣原厂认证合格的专业工程师到现场维修设备</w:t>
                  </w:r>
                  <w:r>
                    <w:rPr>
                      <w:rFonts w:ascii="仿宋_GB2312" w:hAnsi="仿宋_GB2312" w:cs="仿宋_GB2312" w:eastAsia="仿宋_GB2312"/>
                      <w:sz w:val="19"/>
                    </w:rPr>
                    <w:t>。</w:t>
                  </w:r>
                </w:p>
                <w:p>
                  <w:pPr>
                    <w:pStyle w:val="null3"/>
                  </w:pPr>
                  <w:r>
                    <w:rPr>
                      <w:rFonts w:ascii="仿宋_GB2312" w:hAnsi="仿宋_GB2312" w:cs="仿宋_GB2312" w:eastAsia="仿宋_GB2312"/>
                      <w:sz w:val="19"/>
                    </w:rPr>
                    <w:t>5</w:t>
                  </w:r>
                  <w:r>
                    <w:rPr>
                      <w:rFonts w:ascii="仿宋_GB2312" w:hAnsi="仿宋_GB2312" w:cs="仿宋_GB2312" w:eastAsia="仿宋_GB2312"/>
                      <w:sz w:val="19"/>
                    </w:rPr>
                    <w:t>.</w:t>
                  </w:r>
                  <w:r>
                    <w:rPr>
                      <w:rFonts w:ascii="仿宋_GB2312" w:hAnsi="仿宋_GB2312" w:cs="仿宋_GB2312" w:eastAsia="仿宋_GB2312"/>
                      <w:sz w:val="19"/>
                    </w:rPr>
                    <w:t>配件更换：提供维修</w:t>
                  </w:r>
                  <w:r>
                    <w:rPr>
                      <w:rFonts w:ascii="仿宋_GB2312" w:hAnsi="仿宋_GB2312" w:cs="仿宋_GB2312" w:eastAsia="仿宋_GB2312"/>
                      <w:sz w:val="19"/>
                    </w:rPr>
                    <w:t>及</w:t>
                  </w:r>
                  <w:r>
                    <w:rPr>
                      <w:rFonts w:ascii="仿宋_GB2312" w:hAnsi="仿宋_GB2312" w:cs="仿宋_GB2312" w:eastAsia="仿宋_GB2312"/>
                      <w:sz w:val="19"/>
                    </w:rPr>
                    <w:t>更换的零部件必须为全新原装原厂未拆封</w:t>
                  </w:r>
                  <w:r>
                    <w:rPr>
                      <w:rFonts w:ascii="仿宋_GB2312" w:hAnsi="仿宋_GB2312" w:cs="仿宋_GB2312" w:eastAsia="仿宋_GB2312"/>
                      <w:sz w:val="19"/>
                    </w:rPr>
                    <w:t>配件。承担相应的人工费、运输费、交通费、安装调试费用等</w:t>
                  </w:r>
                </w:p>
                <w:p>
                  <w:pPr>
                    <w:pStyle w:val="null3"/>
                  </w:pPr>
                  <w:r>
                    <w:rPr>
                      <w:rFonts w:ascii="仿宋_GB2312" w:hAnsi="仿宋_GB2312" w:cs="仿宋_GB2312" w:eastAsia="仿宋_GB2312"/>
                      <w:sz w:val="19"/>
                    </w:rPr>
                    <w:t>6</w:t>
                  </w:r>
                  <w:r>
                    <w:rPr>
                      <w:rFonts w:ascii="仿宋_GB2312" w:hAnsi="仿宋_GB2312" w:cs="仿宋_GB2312" w:eastAsia="仿宋_GB2312"/>
                      <w:sz w:val="19"/>
                    </w:rPr>
                    <w:t>.</w:t>
                  </w:r>
                  <w:r>
                    <w:rPr>
                      <w:rFonts w:ascii="仿宋_GB2312" w:hAnsi="仿宋_GB2312" w:cs="仿宋_GB2312" w:eastAsia="仿宋_GB2312"/>
                      <w:sz w:val="19"/>
                    </w:rPr>
                    <w:t>工作站：提供工作站的保修（</w:t>
                  </w:r>
                  <w:r>
                    <w:rPr>
                      <w:rFonts w:ascii="仿宋_GB2312" w:hAnsi="仿宋_GB2312" w:cs="仿宋_GB2312" w:eastAsia="仿宋_GB2312"/>
                      <w:sz w:val="19"/>
                    </w:rPr>
                    <w:t>license的更新以及软件病毒防护）</w:t>
                  </w:r>
                </w:p>
                <w:p>
                  <w:pPr>
                    <w:pStyle w:val="null3"/>
                  </w:pPr>
                  <w:r>
                    <w:rPr>
                      <w:rFonts w:ascii="仿宋_GB2312" w:hAnsi="仿宋_GB2312" w:cs="仿宋_GB2312" w:eastAsia="仿宋_GB2312"/>
                      <w:sz w:val="19"/>
                    </w:rPr>
                    <w:t>7</w:t>
                  </w:r>
                  <w:r>
                    <w:rPr>
                      <w:rFonts w:ascii="仿宋_GB2312" w:hAnsi="仿宋_GB2312" w:cs="仿宋_GB2312" w:eastAsia="仿宋_GB2312"/>
                      <w:sz w:val="19"/>
                    </w:rPr>
                    <w:t>.</w:t>
                  </w:r>
                  <w:r>
                    <w:rPr>
                      <w:rFonts w:ascii="仿宋_GB2312" w:hAnsi="仿宋_GB2312" w:cs="仿宋_GB2312" w:eastAsia="仿宋_GB2312"/>
                      <w:sz w:val="19"/>
                    </w:rPr>
                    <w:t>定期维护：根据设备的运行状况，</w:t>
                  </w:r>
                  <w:r>
                    <w:rPr>
                      <w:rFonts w:ascii="仿宋_GB2312" w:hAnsi="仿宋_GB2312" w:cs="仿宋_GB2312" w:eastAsia="仿宋_GB2312"/>
                      <w:sz w:val="19"/>
                    </w:rPr>
                    <w:t>提供每年两次的定期预防性维护，</w:t>
                  </w:r>
                  <w:r>
                    <w:rPr>
                      <w:rFonts w:ascii="仿宋_GB2312" w:hAnsi="仿宋_GB2312" w:cs="仿宋_GB2312" w:eastAsia="仿宋_GB2312"/>
                      <w:sz w:val="19"/>
                    </w:rPr>
                    <w:t>无限次人工，</w:t>
                  </w:r>
                  <w:r>
                    <w:rPr>
                      <w:rFonts w:ascii="仿宋_GB2312" w:hAnsi="仿宋_GB2312" w:cs="仿宋_GB2312" w:eastAsia="仿宋_GB2312"/>
                      <w:sz w:val="19"/>
                    </w:rPr>
                    <w:t>提供优质保养耗材，并定期清理设备过滤网。</w:t>
                  </w:r>
                  <w:r>
                    <w:rPr>
                      <w:rFonts w:ascii="仿宋_GB2312" w:hAnsi="仿宋_GB2312" w:cs="仿宋_GB2312" w:eastAsia="仿宋_GB2312"/>
                      <w:sz w:val="19"/>
                    </w:rPr>
                    <w:t>维护范围包括：安全性、图像质量、</w:t>
                  </w:r>
                  <w:r>
                    <w:rPr>
                      <w:rFonts w:ascii="仿宋_GB2312" w:hAnsi="仿宋_GB2312" w:cs="仿宋_GB2312" w:eastAsia="仿宋_GB2312"/>
                      <w:sz w:val="19"/>
                    </w:rPr>
                    <w:t>系统性能方面的检测、调试及校准，电气环境监测、必要的机械检查和设备清洁等，并定期对设备的数据进行备份，确保系统能按照正常的产品规格运行的标准来维修。</w:t>
                  </w:r>
                </w:p>
                <w:p>
                  <w:pPr>
                    <w:pStyle w:val="null3"/>
                  </w:pPr>
                  <w:r>
                    <w:rPr>
                      <w:rFonts w:ascii="仿宋_GB2312" w:hAnsi="仿宋_GB2312" w:cs="仿宋_GB2312" w:eastAsia="仿宋_GB2312"/>
                      <w:sz w:val="19"/>
                    </w:rPr>
                    <w:t>8</w:t>
                  </w:r>
                  <w:r>
                    <w:rPr>
                      <w:rFonts w:ascii="仿宋_GB2312" w:hAnsi="仿宋_GB2312" w:cs="仿宋_GB2312" w:eastAsia="仿宋_GB2312"/>
                      <w:sz w:val="19"/>
                    </w:rPr>
                    <w:t>.</w:t>
                  </w:r>
                  <w:r>
                    <w:rPr>
                      <w:rFonts w:ascii="仿宋_GB2312" w:hAnsi="仿宋_GB2312" w:cs="仿宋_GB2312" w:eastAsia="仿宋_GB2312"/>
                      <w:sz w:val="19"/>
                    </w:rPr>
                    <w:t>根据客户需求，工程师可到达现场，配合相关质检部门和医院的检测达标工作</w:t>
                  </w:r>
                </w:p>
                <w:p>
                  <w:pPr>
                    <w:pStyle w:val="null3"/>
                  </w:pPr>
                  <w:r>
                    <w:rPr>
                      <w:rFonts w:ascii="仿宋_GB2312" w:hAnsi="仿宋_GB2312" w:cs="仿宋_GB2312" w:eastAsia="仿宋_GB2312"/>
                      <w:sz w:val="19"/>
                    </w:rPr>
                    <w:t>9</w:t>
                  </w:r>
                  <w:r>
                    <w:rPr>
                      <w:rFonts w:ascii="仿宋_GB2312" w:hAnsi="仿宋_GB2312" w:cs="仿宋_GB2312" w:eastAsia="仿宋_GB2312"/>
                      <w:sz w:val="19"/>
                    </w:rPr>
                    <w:t>.</w:t>
                  </w:r>
                  <w:r>
                    <w:rPr>
                      <w:rFonts w:ascii="仿宋_GB2312" w:hAnsi="仿宋_GB2312" w:cs="仿宋_GB2312" w:eastAsia="仿宋_GB2312"/>
                      <w:sz w:val="19"/>
                      <w:color w:val="000000"/>
                    </w:rPr>
                    <w:t>开机率保证：保证开机率不低于</w:t>
                  </w:r>
                  <w:r>
                    <w:rPr>
                      <w:rFonts w:ascii="仿宋_GB2312" w:hAnsi="仿宋_GB2312" w:cs="仿宋_GB2312" w:eastAsia="仿宋_GB2312"/>
                      <w:sz w:val="19"/>
                      <w:color w:val="000000"/>
                    </w:rPr>
                    <w:t>95%（按365天计算</w:t>
                  </w:r>
                  <w:r>
                    <w:rPr>
                      <w:rFonts w:ascii="仿宋_GB2312" w:hAnsi="仿宋_GB2312" w:cs="仿宋_GB2312" w:eastAsia="仿宋_GB2312"/>
                      <w:sz w:val="19"/>
                      <w:color w:val="000000"/>
                    </w:rPr>
                    <w:t>，</w:t>
                  </w:r>
                  <w:r>
                    <w:rPr>
                      <w:rFonts w:ascii="仿宋_GB2312" w:hAnsi="仿宋_GB2312" w:cs="仿宋_GB2312" w:eastAsia="仿宋_GB2312"/>
                      <w:sz w:val="19"/>
                      <w:color w:val="000000"/>
                    </w:rPr>
                    <w:t>维护时间不能过长，保证开机率</w:t>
                  </w:r>
                  <w:r>
                    <w:rPr>
                      <w:rFonts w:ascii="仿宋_GB2312" w:hAnsi="仿宋_GB2312" w:cs="仿宋_GB2312" w:eastAsia="仿宋_GB2312"/>
                      <w:sz w:val="19"/>
                      <w:color w:val="000000"/>
                    </w:rPr>
                    <w:t>）</w:t>
                  </w:r>
                  <w:r>
                    <w:rPr>
                      <w:rFonts w:ascii="仿宋_GB2312" w:hAnsi="仿宋_GB2312" w:cs="仿宋_GB2312" w:eastAsia="仿宋_GB2312"/>
                      <w:sz w:val="19"/>
                      <w:color w:val="000000"/>
                    </w:rPr>
                    <w:t>；</w:t>
                  </w:r>
                  <w:r>
                    <w:rPr>
                      <w:rFonts w:ascii="仿宋_GB2312" w:hAnsi="仿宋_GB2312" w:cs="仿宋_GB2312" w:eastAsia="仿宋_GB2312"/>
                      <w:sz w:val="19"/>
                      <w:color w:val="000000"/>
                    </w:rPr>
                    <w:t>由于维保维修不及时，造成的故障扩大或其它设备设施损坏，以及采购人经营损失，均由维保方负责。</w:t>
                  </w:r>
                  <w:r>
                    <w:rPr>
                      <w:rFonts w:ascii="仿宋_GB2312" w:hAnsi="仿宋_GB2312" w:cs="仿宋_GB2312" w:eastAsia="仿宋_GB2312"/>
                      <w:sz w:val="19"/>
                      <w:color w:val="000000"/>
                    </w:rPr>
                    <w:t>如果超过</w:t>
                  </w:r>
                  <w:r>
                    <w:rPr>
                      <w:rFonts w:ascii="仿宋_GB2312" w:hAnsi="仿宋_GB2312" w:cs="仿宋_GB2312" w:eastAsia="仿宋_GB2312"/>
                      <w:sz w:val="19"/>
                      <w:color w:val="000000"/>
                    </w:rPr>
                    <w:t>72小时不能修复，耽误一天维保期延长5天。</w:t>
                  </w:r>
                </w:p>
                <w:p>
                  <w:pPr>
                    <w:pStyle w:val="null3"/>
                  </w:pPr>
                  <w:r>
                    <w:rPr>
                      <w:rFonts w:ascii="仿宋_GB2312" w:hAnsi="仿宋_GB2312" w:cs="仿宋_GB2312" w:eastAsia="仿宋_GB2312"/>
                      <w:sz w:val="19"/>
                    </w:rPr>
                    <w:t>10.</w:t>
                  </w:r>
                  <w:r>
                    <w:rPr>
                      <w:rFonts w:ascii="仿宋_GB2312" w:hAnsi="仿宋_GB2312" w:cs="仿宋_GB2312" w:eastAsia="仿宋_GB2312"/>
                      <w:sz w:val="19"/>
                    </w:rPr>
                    <w:t>该设备维护及维修期间，必须按照行业安全规范做好维保过程中安全防范工作，维保前制定详细的施工安全措施并在维保工作中严格落实，以确保维保工作安全和第三者安全，如发生伤、残、亡等一切安全事故及纠纷，由维保方全部负责，采购人不承担任何经济损失和法律责任。</w:t>
                  </w:r>
                </w:p>
                <w:p>
                  <w:pPr>
                    <w:pStyle w:val="null3"/>
                  </w:pPr>
                  <w:r>
                    <w:rPr>
                      <w:rFonts w:ascii="仿宋_GB2312" w:hAnsi="仿宋_GB2312" w:cs="仿宋_GB2312" w:eastAsia="仿宋_GB2312"/>
                      <w:sz w:val="19"/>
                    </w:rPr>
                    <w:t>11.</w:t>
                  </w:r>
                  <w:r>
                    <w:rPr>
                      <w:rFonts w:ascii="仿宋_GB2312" w:hAnsi="仿宋_GB2312" w:cs="仿宋_GB2312" w:eastAsia="仿宋_GB2312"/>
                      <w:sz w:val="19"/>
                    </w:rPr>
                    <w:t>质保期间按厂家说明书要求提供维护保养，维保期结束时需提供本项目所有服务期内的保养、维护、维修资料，若未按时提供视为维保期未结束，维保期延期至提供完整资料时为止，延期期间所产生的维保费用由成交方负责。</w:t>
                  </w:r>
                </w:p>
                <w:p>
                  <w:pPr>
                    <w:pStyle w:val="null3"/>
                  </w:pPr>
                  <w:r>
                    <w:rPr>
                      <w:rFonts w:ascii="仿宋_GB2312" w:hAnsi="仿宋_GB2312" w:cs="仿宋_GB2312" w:eastAsia="仿宋_GB2312"/>
                      <w:sz w:val="19"/>
                    </w:rPr>
                    <w:t>1</w:t>
                  </w:r>
                  <w:r>
                    <w:rPr>
                      <w:rFonts w:ascii="仿宋_GB2312" w:hAnsi="仿宋_GB2312" w:cs="仿宋_GB2312" w:eastAsia="仿宋_GB2312"/>
                      <w:sz w:val="19"/>
                    </w:rPr>
                    <w:t>2.</w:t>
                  </w:r>
                  <w:r>
                    <w:rPr>
                      <w:rFonts w:ascii="仿宋_GB2312" w:hAnsi="仿宋_GB2312" w:cs="仿宋_GB2312" w:eastAsia="仿宋_GB2312"/>
                      <w:sz w:val="19"/>
                    </w:rPr>
                    <w:t>及时获取并实施原厂系统安全性软硬件改版通知，保修期内免费提供设备（含独立工作站）的系统软件升级补丁和技术</w:t>
                  </w:r>
                  <w:r>
                    <w:rPr>
                      <w:rFonts w:ascii="仿宋_GB2312" w:hAnsi="仿宋_GB2312" w:cs="仿宋_GB2312" w:eastAsia="仿宋_GB2312"/>
                      <w:sz w:val="19"/>
                    </w:rPr>
                    <w:t>支持，保证所有系统软件为最新版本</w:t>
                  </w:r>
                  <w:r>
                    <w:rPr>
                      <w:rFonts w:ascii="仿宋_GB2312" w:hAnsi="仿宋_GB2312" w:cs="仿宋_GB2312" w:eastAsia="仿宋_GB2312"/>
                      <w:sz w:val="19"/>
                    </w:rPr>
                    <w:t>。</w:t>
                  </w:r>
                </w:p>
                <w:p>
                  <w:pPr>
                    <w:pStyle w:val="null3"/>
                  </w:pPr>
                  <w:r>
                    <w:rPr>
                      <w:rFonts w:ascii="仿宋_GB2312" w:hAnsi="仿宋_GB2312" w:cs="仿宋_GB2312" w:eastAsia="仿宋_GB2312"/>
                      <w:sz w:val="19"/>
                    </w:rPr>
                    <w:t>13.合同期限：合同最长期限3年，一年一签，依据设备状况，确定下一年度合同情况。</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w:t>
                  </w:r>
                </w:p>
              </w:tc>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肺结节</w:t>
                  </w:r>
                  <w:r>
                    <w:rPr>
                      <w:rFonts w:ascii="仿宋_GB2312" w:hAnsi="仿宋_GB2312" w:cs="仿宋_GB2312" w:eastAsia="仿宋_GB2312"/>
                      <w:sz w:val="19"/>
                    </w:rPr>
                    <w:t>医疗器械注册证</w:t>
                  </w:r>
                </w:p>
              </w:tc>
              <w:tc>
                <w:tcPr>
                  <w:tcW w:type="dxa" w:w="1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具备第三类管理类别中华人民共和国医疗器械注册证，需提供证书复印件</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w:t>
                  </w:r>
                  <w:r>
                    <w:rPr>
                      <w:rFonts w:ascii="仿宋_GB2312" w:hAnsi="仿宋_GB2312" w:cs="仿宋_GB2312" w:eastAsia="仿宋_GB2312"/>
                      <w:sz w:val="19"/>
                    </w:rPr>
                    <w:t>.1</w:t>
                  </w:r>
                </w:p>
              </w:tc>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良恶性预测</w:t>
                  </w:r>
                </w:p>
              </w:tc>
              <w:tc>
                <w:tcPr>
                  <w:tcW w:type="dxa" w:w="1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提供结节良恶性预测结果，并对概率值高的结节重点提示</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2.2</w:t>
                  </w:r>
                </w:p>
              </w:tc>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良恶性预测准确率</w:t>
                  </w:r>
                </w:p>
              </w:tc>
              <w:tc>
                <w:tcPr>
                  <w:tcW w:type="dxa" w:w="1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肺结节良恶性预测准确率不低于</w:t>
                  </w:r>
                  <w:r>
                    <w:rPr>
                      <w:rFonts w:ascii="仿宋_GB2312" w:hAnsi="仿宋_GB2312" w:cs="仿宋_GB2312" w:eastAsia="仿宋_GB2312"/>
                      <w:sz w:val="19"/>
                    </w:rPr>
                    <w:t>90%，需提供第三方机构测试或文献证明</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2.3</w:t>
                  </w:r>
                </w:p>
              </w:tc>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良恶性预测</w:t>
                  </w:r>
                  <w:r>
                    <w:rPr>
                      <w:rFonts w:ascii="仿宋_GB2312" w:hAnsi="仿宋_GB2312" w:cs="仿宋_GB2312" w:eastAsia="仿宋_GB2312"/>
                      <w:sz w:val="19"/>
                    </w:rPr>
                    <w:t>AUC曲线性能</w:t>
                  </w:r>
                </w:p>
              </w:tc>
              <w:tc>
                <w:tcPr>
                  <w:tcW w:type="dxa" w:w="1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肺结节良恶性预测</w:t>
                  </w:r>
                  <w:r>
                    <w:rPr>
                      <w:rFonts w:ascii="仿宋_GB2312" w:hAnsi="仿宋_GB2312" w:cs="仿宋_GB2312" w:eastAsia="仿宋_GB2312"/>
                      <w:sz w:val="19"/>
                    </w:rPr>
                    <w:t>AUC曲线下面积不低于95%，需提供第三方机构测试或文献证明</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2.4</w:t>
                  </w:r>
                </w:p>
              </w:tc>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结节整体风险评估</w:t>
                  </w:r>
                </w:p>
              </w:tc>
              <w:tc>
                <w:tcPr>
                  <w:tcW w:type="dxa" w:w="1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提供全部结节的风险分析列表，列表包含结节的良恶性预测风险值、浸润性预测、基于</w:t>
                  </w:r>
                  <w:r>
                    <w:rPr>
                      <w:rFonts w:ascii="仿宋_GB2312" w:hAnsi="仿宋_GB2312" w:cs="仿宋_GB2312" w:eastAsia="仿宋_GB2312"/>
                      <w:sz w:val="19"/>
                    </w:rPr>
                    <w:t>C-Lung-RADS模型的等级评估、基于C-Lung-RADS模型的随访建议、基于Lung-RADS指南的等级评估、基于Lung-RADS指南的随访建议</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2.5</w:t>
                  </w:r>
                </w:p>
              </w:tc>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结节</w:t>
                  </w:r>
                  <w:r>
                    <w:rPr>
                      <w:rFonts w:ascii="仿宋_GB2312" w:hAnsi="仿宋_GB2312" w:cs="仿宋_GB2312" w:eastAsia="仿宋_GB2312"/>
                      <w:sz w:val="19"/>
                    </w:rPr>
                    <w:t>C-Lung-RADS等级风险评估</w:t>
                  </w:r>
                </w:p>
              </w:tc>
              <w:tc>
                <w:tcPr>
                  <w:tcW w:type="dxa" w:w="1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支持用户更新临床信息，更新</w:t>
                  </w:r>
                  <w:r>
                    <w:rPr>
                      <w:rFonts w:ascii="仿宋_GB2312" w:hAnsi="仿宋_GB2312" w:cs="仿宋_GB2312" w:eastAsia="仿宋_GB2312"/>
                      <w:sz w:val="19"/>
                    </w:rPr>
                    <w:t>C-Lung-RADS分级结果</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2.6</w:t>
                  </w:r>
                </w:p>
              </w:tc>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C-Lung-RADS模型风险预测灵敏度</w:t>
                  </w:r>
                </w:p>
              </w:tc>
              <w:tc>
                <w:tcPr>
                  <w:tcW w:type="dxa" w:w="1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肺结节</w:t>
                  </w:r>
                  <w:r>
                    <w:rPr>
                      <w:rFonts w:ascii="仿宋_GB2312" w:hAnsi="仿宋_GB2312" w:cs="仿宋_GB2312" w:eastAsia="仿宋_GB2312"/>
                      <w:sz w:val="19"/>
                    </w:rPr>
                    <w:t>C-Lung-RADS模型风险预测灵敏度不低于85%，需提供第三方机构测试或文献证明。</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2.7</w:t>
                  </w:r>
                </w:p>
              </w:tc>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C-Lung-RADS模型风险预测AUC曲线性能</w:t>
                  </w:r>
                </w:p>
              </w:tc>
              <w:tc>
                <w:tcPr>
                  <w:tcW w:type="dxa" w:w="1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肺结节</w:t>
                  </w:r>
                  <w:r>
                    <w:rPr>
                      <w:rFonts w:ascii="仿宋_GB2312" w:hAnsi="仿宋_GB2312" w:cs="仿宋_GB2312" w:eastAsia="仿宋_GB2312"/>
                      <w:sz w:val="19"/>
                    </w:rPr>
                    <w:t>C-Lung-RADS模型风险预测AUC曲线下面积不低于90%，需提供第三方机构测试或文献证明。</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2.8</w:t>
                  </w:r>
                </w:p>
              </w:tc>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腺癌风险评估</w:t>
                  </w:r>
                </w:p>
              </w:tc>
              <w:tc>
                <w:tcPr>
                  <w:tcW w:type="dxa" w:w="1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提供显示列表中结节的浸润性风险、气道内播散</w:t>
                  </w:r>
                  <w:r>
                    <w:rPr>
                      <w:rFonts w:ascii="仿宋_GB2312" w:hAnsi="仿宋_GB2312" w:cs="仿宋_GB2312" w:eastAsia="仿宋_GB2312"/>
                      <w:sz w:val="19"/>
                    </w:rPr>
                    <w:t>(STAS)风险、胸膜侵犯 (VPI) 风险、淋巴结转移风险、远端转移风险的风险概率值和风险等级预测结果</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2.9</w:t>
                  </w:r>
                </w:p>
              </w:tc>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实性成分分析</w:t>
                  </w:r>
                </w:p>
              </w:tc>
              <w:tc>
                <w:tcPr>
                  <w:tcW w:type="dxa" w:w="1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对于部分实性结节，自动测量和展示实性成分的长径值及占比、体积值及占比，在局部放大图中显示实性成分轮廓标记和长径标记</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2.10</w:t>
                  </w:r>
                </w:p>
              </w:tc>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轮廓编辑</w:t>
                  </w:r>
                </w:p>
              </w:tc>
              <w:tc>
                <w:tcPr>
                  <w:tcW w:type="dxa" w:w="1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支持对结节进行轮廓编辑，并基于编辑结果更新结节信息</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2.11</w:t>
                  </w:r>
                </w:p>
              </w:tc>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肺转移结节预测</w:t>
                  </w:r>
                </w:p>
              </w:tc>
              <w:tc>
                <w:tcPr>
                  <w:tcW w:type="dxa" w:w="1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系统对检出的结节预测转移概率，支持一键对肺转移结节快速查看</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2.12</w:t>
                  </w:r>
                </w:p>
              </w:tc>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局部</w:t>
                  </w:r>
                  <w:r>
                    <w:rPr>
                      <w:rFonts w:ascii="仿宋_GB2312" w:hAnsi="仿宋_GB2312" w:cs="仿宋_GB2312" w:eastAsia="仿宋_GB2312"/>
                      <w:sz w:val="19"/>
                    </w:rPr>
                    <w:t>VR图像归档</w:t>
                  </w:r>
                </w:p>
              </w:tc>
              <w:tc>
                <w:tcPr>
                  <w:tcW w:type="dxa" w:w="1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支持将局部</w:t>
                  </w:r>
                  <w:r>
                    <w:rPr>
                      <w:rFonts w:ascii="仿宋_GB2312" w:hAnsi="仿宋_GB2312" w:cs="仿宋_GB2312" w:eastAsia="仿宋_GB2312"/>
                      <w:sz w:val="19"/>
                    </w:rPr>
                    <w:t>VR图像添加至归档序列，方便医生将目标图像归档至PACS</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2.13</w:t>
                  </w:r>
                </w:p>
              </w:tc>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全胸报告</w:t>
                  </w:r>
                </w:p>
              </w:tc>
              <w:tc>
                <w:tcPr>
                  <w:tcW w:type="dxa" w:w="1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提供全胸报告，支持用户个性化配置，可</w:t>
                  </w:r>
                  <w:r>
                    <w:rPr>
                      <w:rFonts w:ascii="仿宋_GB2312" w:hAnsi="仿宋_GB2312" w:cs="仿宋_GB2312" w:eastAsia="仿宋_GB2312"/>
                      <w:sz w:val="19"/>
                    </w:rPr>
                    <w:t>复制、修改</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2.14</w:t>
                  </w:r>
                </w:p>
              </w:tc>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局部</w:t>
                  </w:r>
                  <w:r>
                    <w:rPr>
                      <w:rFonts w:ascii="仿宋_GB2312" w:hAnsi="仿宋_GB2312" w:cs="仿宋_GB2312" w:eastAsia="仿宋_GB2312"/>
                      <w:sz w:val="19"/>
                    </w:rPr>
                    <w:t>VR图像打印</w:t>
                  </w:r>
                </w:p>
              </w:tc>
              <w:tc>
                <w:tcPr>
                  <w:tcW w:type="dxa" w:w="1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支持选取局部</w:t>
                  </w:r>
                  <w:r>
                    <w:rPr>
                      <w:rFonts w:ascii="仿宋_GB2312" w:hAnsi="仿宋_GB2312" w:cs="仿宋_GB2312" w:eastAsia="仿宋_GB2312"/>
                      <w:sz w:val="19"/>
                    </w:rPr>
                    <w:t>VR图像至打印序列</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2.15</w:t>
                  </w:r>
                </w:p>
              </w:tc>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肺结节管理模块</w:t>
                  </w:r>
                </w:p>
              </w:tc>
              <w:tc>
                <w:tcPr>
                  <w:tcW w:type="dxa" w:w="1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提供数据管理及随访管理功能</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2.16</w:t>
                  </w:r>
                </w:p>
              </w:tc>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随访管理模块</w:t>
                  </w:r>
                </w:p>
              </w:tc>
              <w:tc>
                <w:tcPr>
                  <w:tcW w:type="dxa" w:w="1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系统根据国际标准指南提供默认的随访时间建议，支持给每个病例添加随访管理计划，并且可以在随访管理模块对有随访计划的病例进行筛选、查询以进行随访状态的追踪</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2.17</w:t>
                  </w:r>
                </w:p>
              </w:tc>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数据管理模块</w:t>
                  </w:r>
                </w:p>
              </w:tc>
              <w:tc>
                <w:tcPr>
                  <w:tcW w:type="dxa" w:w="1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汇总展示肺结节算法计算成功的所有病例，支持通过结节大小、随访状态等至少</w:t>
                  </w:r>
                  <w:r>
                    <w:rPr>
                      <w:rFonts w:ascii="仿宋_GB2312" w:hAnsi="仿宋_GB2312" w:cs="仿宋_GB2312" w:eastAsia="仿宋_GB2312"/>
                      <w:sz w:val="19"/>
                    </w:rPr>
                    <w:t>12种条件对数据进行筛选、添加至随访操作，并提供csv导出功能</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2.18</w:t>
                  </w:r>
                </w:p>
              </w:tc>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肺结节检出性能</w:t>
                  </w:r>
                </w:p>
              </w:tc>
              <w:tc>
                <w:tcPr>
                  <w:tcW w:type="dxa" w:w="1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肺结节在</w:t>
                  </w:r>
                  <w:r>
                    <w:rPr>
                      <w:rFonts w:ascii="仿宋_GB2312" w:hAnsi="仿宋_GB2312" w:cs="仿宋_GB2312" w:eastAsia="仿宋_GB2312"/>
                      <w:sz w:val="19"/>
                    </w:rPr>
                    <w:t>3mm-5mm尺寸范围内的检出敏感性≥90%，肺结节在大于5mm尺寸范围内的检出敏感性≥95%，需提供第三方机构测试或文献证明</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2.19</w:t>
                  </w:r>
                </w:p>
              </w:tc>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肺结节量化对比</w:t>
                  </w:r>
                </w:p>
              </w:tc>
              <w:tc>
                <w:tcPr>
                  <w:tcW w:type="dxa" w:w="1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提供具备随访功能产品的医疗器械注册证（不包括具备随访功能的肺炎辅助分诊软件），提供产品注册证复印件并加盖公章</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2.20</w:t>
                  </w:r>
                </w:p>
              </w:tc>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病灶成分与组学特征对比</w:t>
                  </w:r>
                </w:p>
              </w:tc>
              <w:tc>
                <w:tcPr>
                  <w:tcW w:type="dxa" w:w="1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通过直方图提供结节不同成分对比分析，同时提供不同成分的体积占比、质量占比对比分析、多维</w:t>
                  </w:r>
                  <w:r>
                    <w:rPr>
                      <w:rFonts w:ascii="仿宋_GB2312" w:hAnsi="仿宋_GB2312" w:cs="仿宋_GB2312" w:eastAsia="仿宋_GB2312"/>
                      <w:sz w:val="19"/>
                    </w:rPr>
                    <w:t>CT组学特征值对比分析，支持结节征象对比分析</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2.21</w:t>
                  </w:r>
                </w:p>
              </w:tc>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随访图文报告</w:t>
                  </w:r>
                </w:p>
              </w:tc>
              <w:tc>
                <w:tcPr>
                  <w:tcW w:type="dxa" w:w="1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支持手动选择有临床意义的结节，生成图文报告并归档到</w:t>
                  </w:r>
                  <w:r>
                    <w:rPr>
                      <w:rFonts w:ascii="仿宋_GB2312" w:hAnsi="仿宋_GB2312" w:cs="仿宋_GB2312" w:eastAsia="仿宋_GB2312"/>
                      <w:sz w:val="19"/>
                    </w:rPr>
                    <w:t>PACS，支持修改、保存及导出</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2.22</w:t>
                  </w:r>
                </w:p>
              </w:tc>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肺叶配准性能</w:t>
                  </w:r>
                </w:p>
              </w:tc>
              <w:tc>
                <w:tcPr>
                  <w:tcW w:type="dxa" w:w="1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肺叶配准后平均</w:t>
                  </w:r>
                  <w:r>
                    <w:rPr>
                      <w:rFonts w:ascii="仿宋_GB2312" w:hAnsi="仿宋_GB2312" w:cs="仿宋_GB2312" w:eastAsia="仿宋_GB2312"/>
                      <w:sz w:val="19"/>
                    </w:rPr>
                    <w:t>Dice值高于95%，提供第三方检测报告或文献证明</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2.23</w:t>
                  </w:r>
                </w:p>
              </w:tc>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病灶配准距离</w:t>
                  </w:r>
                </w:p>
              </w:tc>
              <w:tc>
                <w:tcPr>
                  <w:tcW w:type="dxa" w:w="1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随访关联病灶配准后距离小于等于</w:t>
                  </w:r>
                  <w:r>
                    <w:rPr>
                      <w:rFonts w:ascii="仿宋_GB2312" w:hAnsi="仿宋_GB2312" w:cs="仿宋_GB2312" w:eastAsia="仿宋_GB2312"/>
                      <w:sz w:val="19"/>
                    </w:rPr>
                    <w:t>3mm，提供第三方检测报告或文献证明</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w:t>
                  </w:r>
                </w:p>
              </w:tc>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肺栓塞</w:t>
                  </w:r>
                  <w:r>
                    <w:rPr>
                      <w:rFonts w:ascii="仿宋_GB2312" w:hAnsi="仿宋_GB2312" w:cs="仿宋_GB2312" w:eastAsia="仿宋_GB2312"/>
                      <w:sz w:val="19"/>
                    </w:rPr>
                    <w:t>CT血管造影图像辅助分诊软件</w:t>
                  </w:r>
                </w:p>
              </w:tc>
              <w:tc>
                <w:tcPr>
                  <w:tcW w:type="dxa" w:w="1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w:t>
                  </w:r>
                  <w:r>
                    <w:rPr>
                      <w:rFonts w:ascii="仿宋_GB2312" w:hAnsi="仿宋_GB2312" w:cs="仿宋_GB2312" w:eastAsia="仿宋_GB2312"/>
                      <w:sz w:val="19"/>
                    </w:rPr>
                    <w:t>.1</w:t>
                  </w:r>
                </w:p>
              </w:tc>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医疗器械注册证</w:t>
                  </w:r>
                </w:p>
              </w:tc>
              <w:tc>
                <w:tcPr>
                  <w:tcW w:type="dxa" w:w="1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具备第三类管理类别中华人民共和国医疗器械注册证，提供产品注册证复印件并加盖公章</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w:t>
                  </w:r>
                  <w:r>
                    <w:rPr>
                      <w:rFonts w:ascii="仿宋_GB2312" w:hAnsi="仿宋_GB2312" w:cs="仿宋_GB2312" w:eastAsia="仿宋_GB2312"/>
                      <w:sz w:val="19"/>
                    </w:rPr>
                    <w:t>.2</w:t>
                  </w:r>
                </w:p>
              </w:tc>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肺动脉自动分割</w:t>
                  </w:r>
                </w:p>
              </w:tc>
              <w:tc>
                <w:tcPr>
                  <w:tcW w:type="dxa" w:w="1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系统支持自动分割肺动脉，支持在图像中显示肺动脉分割区域的</w:t>
                  </w:r>
                  <w:r>
                    <w:rPr>
                      <w:rFonts w:ascii="仿宋_GB2312" w:hAnsi="仿宋_GB2312" w:cs="仿宋_GB2312" w:eastAsia="仿宋_GB2312"/>
                      <w:sz w:val="19"/>
                    </w:rPr>
                    <w:t>mask标记、轮廓标记</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w:t>
                  </w:r>
                  <w:r>
                    <w:rPr>
                      <w:rFonts w:ascii="仿宋_GB2312" w:hAnsi="仿宋_GB2312" w:cs="仿宋_GB2312" w:eastAsia="仿宋_GB2312"/>
                      <w:sz w:val="19"/>
                    </w:rPr>
                    <w:t>.3</w:t>
                  </w:r>
                </w:p>
              </w:tc>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栓子自动检出和分割</w:t>
                  </w:r>
                </w:p>
              </w:tc>
              <w:tc>
                <w:tcPr>
                  <w:tcW w:type="dxa" w:w="1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系统支持自动检测和分割肺动脉中的栓子</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w:t>
                  </w:r>
                  <w:r>
                    <w:rPr>
                      <w:rFonts w:ascii="仿宋_GB2312" w:hAnsi="仿宋_GB2312" w:cs="仿宋_GB2312" w:eastAsia="仿宋_GB2312"/>
                      <w:sz w:val="19"/>
                    </w:rPr>
                    <w:t>.4</w:t>
                  </w:r>
                </w:p>
              </w:tc>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心室心房自动分割</w:t>
                  </w:r>
                </w:p>
              </w:tc>
              <w:tc>
                <w:tcPr>
                  <w:tcW w:type="dxa" w:w="1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系统支持对心脏自动分割，支持在</w:t>
                  </w:r>
                  <w:r>
                    <w:rPr>
                      <w:rFonts w:ascii="仿宋_GB2312" w:hAnsi="仿宋_GB2312" w:cs="仿宋_GB2312" w:eastAsia="仿宋_GB2312"/>
                      <w:sz w:val="19"/>
                    </w:rPr>
                    <w:t>MPR图像中显示心房、心室分割区域mask标记</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w:t>
                  </w:r>
                  <w:r>
                    <w:rPr>
                      <w:rFonts w:ascii="仿宋_GB2312" w:hAnsi="仿宋_GB2312" w:cs="仿宋_GB2312" w:eastAsia="仿宋_GB2312"/>
                      <w:sz w:val="19"/>
                    </w:rPr>
                    <w:t>.5</w:t>
                  </w:r>
                </w:p>
              </w:tc>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主动脉自动分割</w:t>
                  </w:r>
                </w:p>
              </w:tc>
              <w:tc>
                <w:tcPr>
                  <w:tcW w:type="dxa" w:w="1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系统支持对主动脉自动分割，支持在</w:t>
                  </w:r>
                  <w:r>
                    <w:rPr>
                      <w:rFonts w:ascii="仿宋_GB2312" w:hAnsi="仿宋_GB2312" w:cs="仿宋_GB2312" w:eastAsia="仿宋_GB2312"/>
                      <w:sz w:val="19"/>
                    </w:rPr>
                    <w:t>MPR图像中显示主动脉分割区域mask标记</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w:t>
                  </w:r>
                  <w:r>
                    <w:rPr>
                      <w:rFonts w:ascii="仿宋_GB2312" w:hAnsi="仿宋_GB2312" w:cs="仿宋_GB2312" w:eastAsia="仿宋_GB2312"/>
                      <w:sz w:val="19"/>
                    </w:rPr>
                    <w:t>.6</w:t>
                  </w:r>
                </w:p>
              </w:tc>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肺静脉自动分割</w:t>
                  </w:r>
                </w:p>
              </w:tc>
              <w:tc>
                <w:tcPr>
                  <w:tcW w:type="dxa" w:w="1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系统支持自动分割肺静脉</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w:t>
                  </w:r>
                  <w:r>
                    <w:rPr>
                      <w:rFonts w:ascii="仿宋_GB2312" w:hAnsi="仿宋_GB2312" w:cs="仿宋_GB2312" w:eastAsia="仿宋_GB2312"/>
                      <w:sz w:val="19"/>
                    </w:rPr>
                    <w:t>.7</w:t>
                  </w:r>
                </w:p>
              </w:tc>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检测栓子列表</w:t>
                  </w:r>
                </w:p>
              </w:tc>
              <w:tc>
                <w:tcPr>
                  <w:tcW w:type="dxa" w:w="1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支持列表展示栓子检测结果，列表的栓子选中情况与</w:t>
                  </w:r>
                  <w:r>
                    <w:rPr>
                      <w:rFonts w:ascii="仿宋_GB2312" w:hAnsi="仿宋_GB2312" w:cs="仿宋_GB2312" w:eastAsia="仿宋_GB2312"/>
                      <w:sz w:val="19"/>
                    </w:rPr>
                    <w:t>VR图、MPR图、CPR图、SCPR图栓子的选中标记联动</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w:t>
                  </w:r>
                  <w:r>
                    <w:rPr>
                      <w:rFonts w:ascii="仿宋_GB2312" w:hAnsi="仿宋_GB2312" w:cs="仿宋_GB2312" w:eastAsia="仿宋_GB2312"/>
                      <w:sz w:val="19"/>
                    </w:rPr>
                    <w:t>.8</w:t>
                  </w:r>
                </w:p>
              </w:tc>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栓子编辑</w:t>
                  </w:r>
                </w:p>
              </w:tc>
              <w:tc>
                <w:tcPr>
                  <w:tcW w:type="dxa" w:w="1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支持栓子新增和原有栓子编辑擦偶作</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w:t>
                  </w:r>
                  <w:r>
                    <w:rPr>
                      <w:rFonts w:ascii="仿宋_GB2312" w:hAnsi="仿宋_GB2312" w:cs="仿宋_GB2312" w:eastAsia="仿宋_GB2312"/>
                      <w:sz w:val="19"/>
                    </w:rPr>
                    <w:t>.9</w:t>
                  </w:r>
                </w:p>
              </w:tc>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栓子定位</w:t>
                  </w:r>
                </w:p>
              </w:tc>
              <w:tc>
                <w:tcPr>
                  <w:tcW w:type="dxa" w:w="1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自动给出栓子位置分布信息，精确至段级肺动脉分支</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w:t>
                  </w:r>
                  <w:r>
                    <w:rPr>
                      <w:rFonts w:ascii="仿宋_GB2312" w:hAnsi="仿宋_GB2312" w:cs="仿宋_GB2312" w:eastAsia="仿宋_GB2312"/>
                      <w:sz w:val="19"/>
                    </w:rPr>
                    <w:t>.10</w:t>
                  </w:r>
                </w:p>
              </w:tc>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栓子位置编辑</w:t>
                  </w:r>
                </w:p>
              </w:tc>
              <w:tc>
                <w:tcPr>
                  <w:tcW w:type="dxa" w:w="1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系统对栓子分布位置进行编辑修改</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w:t>
                  </w:r>
                  <w:r>
                    <w:rPr>
                      <w:rFonts w:ascii="仿宋_GB2312" w:hAnsi="仿宋_GB2312" w:cs="仿宋_GB2312" w:eastAsia="仿宋_GB2312"/>
                      <w:sz w:val="19"/>
                    </w:rPr>
                    <w:t>.11</w:t>
                  </w:r>
                </w:p>
              </w:tc>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栓子删除</w:t>
                  </w:r>
                </w:p>
              </w:tc>
              <w:tc>
                <w:tcPr>
                  <w:tcW w:type="dxa" w:w="1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支持单个或批量删除列表中的栓子</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w:t>
                  </w:r>
                  <w:r>
                    <w:rPr>
                      <w:rFonts w:ascii="仿宋_GB2312" w:hAnsi="仿宋_GB2312" w:cs="仿宋_GB2312" w:eastAsia="仿宋_GB2312"/>
                      <w:sz w:val="19"/>
                    </w:rPr>
                    <w:t>.12</w:t>
                  </w:r>
                </w:p>
              </w:tc>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栓子体积测量</w:t>
                  </w:r>
                </w:p>
              </w:tc>
              <w:tc>
                <w:tcPr>
                  <w:tcW w:type="dxa" w:w="1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自动测量栓子体积并显示</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w:t>
                  </w:r>
                  <w:r>
                    <w:rPr>
                      <w:rFonts w:ascii="仿宋_GB2312" w:hAnsi="仿宋_GB2312" w:cs="仿宋_GB2312" w:eastAsia="仿宋_GB2312"/>
                      <w:sz w:val="19"/>
                    </w:rPr>
                    <w:t>.13</w:t>
                  </w:r>
                </w:p>
              </w:tc>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完全闭塞分支定位</w:t>
                  </w:r>
                </w:p>
              </w:tc>
              <w:tc>
                <w:tcPr>
                  <w:tcW w:type="dxa" w:w="1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自动检测完全闭塞肺动脉分支位置并给出提示</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w:t>
                  </w:r>
                  <w:r>
                    <w:rPr>
                      <w:rFonts w:ascii="仿宋_GB2312" w:hAnsi="仿宋_GB2312" w:cs="仿宋_GB2312" w:eastAsia="仿宋_GB2312"/>
                      <w:sz w:val="19"/>
                    </w:rPr>
                    <w:t>.14</w:t>
                  </w:r>
                </w:p>
              </w:tc>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栓子排序</w:t>
                  </w:r>
                </w:p>
              </w:tc>
              <w:tc>
                <w:tcPr>
                  <w:tcW w:type="dxa" w:w="1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系统可以根据栓子所在的位置和栓子体积大小进行排序展示</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w:t>
                  </w:r>
                  <w:r>
                    <w:rPr>
                      <w:rFonts w:ascii="仿宋_GB2312" w:hAnsi="仿宋_GB2312" w:cs="仿宋_GB2312" w:eastAsia="仿宋_GB2312"/>
                      <w:sz w:val="19"/>
                    </w:rPr>
                    <w:t>.15</w:t>
                  </w:r>
                </w:p>
              </w:tc>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栓子位置筛选</w:t>
                  </w:r>
                </w:p>
              </w:tc>
              <w:tc>
                <w:tcPr>
                  <w:tcW w:type="dxa" w:w="1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系统可以根据栓子所在位置进行筛选展示</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w:t>
                  </w:r>
                  <w:r>
                    <w:rPr>
                      <w:rFonts w:ascii="仿宋_GB2312" w:hAnsi="仿宋_GB2312" w:cs="仿宋_GB2312" w:eastAsia="仿宋_GB2312"/>
                      <w:sz w:val="19"/>
                    </w:rPr>
                    <w:t>.16</w:t>
                  </w:r>
                </w:p>
              </w:tc>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栓子</w:t>
                  </w:r>
                  <w:r>
                    <w:rPr>
                      <w:rFonts w:ascii="仿宋_GB2312" w:hAnsi="仿宋_GB2312" w:cs="仿宋_GB2312" w:eastAsia="仿宋_GB2312"/>
                      <w:sz w:val="19"/>
                    </w:rPr>
                    <w:t>VR重建</w:t>
                  </w:r>
                </w:p>
              </w:tc>
              <w:tc>
                <w:tcPr>
                  <w:tcW w:type="dxa" w:w="1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系统支持栓子</w:t>
                  </w:r>
                  <w:r>
                    <w:rPr>
                      <w:rFonts w:ascii="仿宋_GB2312" w:hAnsi="仿宋_GB2312" w:cs="仿宋_GB2312" w:eastAsia="仿宋_GB2312"/>
                      <w:sz w:val="19"/>
                    </w:rPr>
                    <w:t>VR重建及显示，可显示/隐藏栓子VR图像</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w:t>
                  </w:r>
                  <w:r>
                    <w:rPr>
                      <w:rFonts w:ascii="仿宋_GB2312" w:hAnsi="仿宋_GB2312" w:cs="仿宋_GB2312" w:eastAsia="仿宋_GB2312"/>
                      <w:sz w:val="19"/>
                    </w:rPr>
                    <w:t>.17</w:t>
                  </w:r>
                </w:p>
              </w:tc>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肺静脉</w:t>
                  </w:r>
                  <w:r>
                    <w:rPr>
                      <w:rFonts w:ascii="仿宋_GB2312" w:hAnsi="仿宋_GB2312" w:cs="仿宋_GB2312" w:eastAsia="仿宋_GB2312"/>
                      <w:sz w:val="19"/>
                    </w:rPr>
                    <w:t>VR重建</w:t>
                  </w:r>
                </w:p>
              </w:tc>
              <w:tc>
                <w:tcPr>
                  <w:tcW w:type="dxa" w:w="1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系统支持肺静脉</w:t>
                  </w:r>
                  <w:r>
                    <w:rPr>
                      <w:rFonts w:ascii="仿宋_GB2312" w:hAnsi="仿宋_GB2312" w:cs="仿宋_GB2312" w:eastAsia="仿宋_GB2312"/>
                      <w:sz w:val="19"/>
                    </w:rPr>
                    <w:t>VR重建及显示，可显示/隐藏肺静脉VR图像</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w:t>
                  </w:r>
                  <w:r>
                    <w:rPr>
                      <w:rFonts w:ascii="仿宋_GB2312" w:hAnsi="仿宋_GB2312" w:cs="仿宋_GB2312" w:eastAsia="仿宋_GB2312"/>
                      <w:sz w:val="19"/>
                    </w:rPr>
                    <w:t>.18</w:t>
                  </w:r>
                </w:p>
              </w:tc>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VR图默认角度配置</w:t>
                  </w:r>
                </w:p>
              </w:tc>
              <w:tc>
                <w:tcPr>
                  <w:tcW w:type="dxa" w:w="1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支持自定义配置</w:t>
                  </w:r>
                  <w:r>
                    <w:rPr>
                      <w:rFonts w:ascii="仿宋_GB2312" w:hAnsi="仿宋_GB2312" w:cs="仿宋_GB2312" w:eastAsia="仿宋_GB2312"/>
                      <w:sz w:val="19"/>
                    </w:rPr>
                    <w:t>VR图的默认显示角度</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w:t>
                  </w:r>
                  <w:r>
                    <w:rPr>
                      <w:rFonts w:ascii="仿宋_GB2312" w:hAnsi="仿宋_GB2312" w:cs="仿宋_GB2312" w:eastAsia="仿宋_GB2312"/>
                      <w:sz w:val="19"/>
                    </w:rPr>
                    <w:t>.19</w:t>
                  </w:r>
                </w:p>
              </w:tc>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VR裁剪功能</w:t>
                  </w:r>
                </w:p>
              </w:tc>
              <w:tc>
                <w:tcPr>
                  <w:tcW w:type="dxa" w:w="1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提供</w:t>
                  </w:r>
                  <w:r>
                    <w:rPr>
                      <w:rFonts w:ascii="仿宋_GB2312" w:hAnsi="仿宋_GB2312" w:cs="仿宋_GB2312" w:eastAsia="仿宋_GB2312"/>
                      <w:sz w:val="19"/>
                    </w:rPr>
                    <w:t>VR裁剪功能，可在VR图上任意裁剪肺动脉、肺静脉、栓子</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w:t>
                  </w:r>
                  <w:r>
                    <w:rPr>
                      <w:rFonts w:ascii="仿宋_GB2312" w:hAnsi="仿宋_GB2312" w:cs="仿宋_GB2312" w:eastAsia="仿宋_GB2312"/>
                      <w:sz w:val="19"/>
                    </w:rPr>
                    <w:t>.20</w:t>
                  </w:r>
                </w:p>
              </w:tc>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VR裁剪操作及结果更新</w:t>
                  </w:r>
                </w:p>
              </w:tc>
              <w:tc>
                <w:tcPr>
                  <w:tcW w:type="dxa" w:w="1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支持裁剪过程中的撤销、返回和重置操作；提供</w:t>
                  </w:r>
                  <w:r>
                    <w:rPr>
                      <w:rFonts w:ascii="仿宋_GB2312" w:hAnsi="仿宋_GB2312" w:cs="仿宋_GB2312" w:eastAsia="仿宋_GB2312"/>
                      <w:sz w:val="19"/>
                    </w:rPr>
                    <w:t>VR裁剪的同步功能，裁剪后，归档／打印预览中VR图、MIP图同步更新</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w:t>
                  </w:r>
                  <w:r>
                    <w:rPr>
                      <w:rFonts w:ascii="仿宋_GB2312" w:hAnsi="仿宋_GB2312" w:cs="仿宋_GB2312" w:eastAsia="仿宋_GB2312"/>
                      <w:sz w:val="19"/>
                    </w:rPr>
                    <w:t>.21</w:t>
                  </w:r>
                </w:p>
              </w:tc>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CPR图显示</w:t>
                  </w:r>
                </w:p>
              </w:tc>
              <w:tc>
                <w:tcPr>
                  <w:tcW w:type="dxa" w:w="1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支持叶级肺动脉分支以及所有阳性肺动脉分支</w:t>
                  </w:r>
                  <w:r>
                    <w:rPr>
                      <w:rFonts w:ascii="仿宋_GB2312" w:hAnsi="仿宋_GB2312" w:cs="仿宋_GB2312" w:eastAsia="仿宋_GB2312"/>
                      <w:sz w:val="19"/>
                    </w:rPr>
                    <w:t>CPR图显示，并可360°旋转，支持旋转角度显示</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w:t>
                  </w:r>
                  <w:r>
                    <w:rPr>
                      <w:rFonts w:ascii="仿宋_GB2312" w:hAnsi="仿宋_GB2312" w:cs="仿宋_GB2312" w:eastAsia="仿宋_GB2312"/>
                      <w:sz w:val="19"/>
                    </w:rPr>
                    <w:t>.22</w:t>
                  </w:r>
                </w:p>
              </w:tc>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SCPR图显示</w:t>
                  </w:r>
                </w:p>
              </w:tc>
              <w:tc>
                <w:tcPr>
                  <w:tcW w:type="dxa" w:w="1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支持叶级肺动脉分支以及所有阳性肺动脉分支</w:t>
                  </w:r>
                  <w:r>
                    <w:rPr>
                      <w:rFonts w:ascii="仿宋_GB2312" w:hAnsi="仿宋_GB2312" w:cs="仿宋_GB2312" w:eastAsia="仿宋_GB2312"/>
                      <w:sz w:val="19"/>
                    </w:rPr>
                    <w:t>SCPR图显示，并可360°旋转，支持旋转角度显示</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w:t>
                  </w:r>
                  <w:r>
                    <w:rPr>
                      <w:rFonts w:ascii="仿宋_GB2312" w:hAnsi="仿宋_GB2312" w:cs="仿宋_GB2312" w:eastAsia="仿宋_GB2312"/>
                      <w:sz w:val="19"/>
                    </w:rPr>
                    <w:t>.23</w:t>
                  </w:r>
                </w:p>
              </w:tc>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探针图显示</w:t>
                  </w:r>
                </w:p>
              </w:tc>
              <w:tc>
                <w:tcPr>
                  <w:tcW w:type="dxa" w:w="1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支持叶级肺动脉分支以及所有阳性肺动脉分支探针图显示</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w:t>
                  </w:r>
                  <w:r>
                    <w:rPr>
                      <w:rFonts w:ascii="仿宋_GB2312" w:hAnsi="仿宋_GB2312" w:cs="仿宋_GB2312" w:eastAsia="仿宋_GB2312"/>
                      <w:sz w:val="19"/>
                    </w:rPr>
                    <w:t>.24</w:t>
                  </w:r>
                </w:p>
              </w:tc>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双向联动功能</w:t>
                  </w:r>
                </w:p>
              </w:tc>
              <w:tc>
                <w:tcPr>
                  <w:tcW w:type="dxa" w:w="1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VR图、MIP图、CPR图和SCPR图定位线位置变化联动，且对应横断位视图定位标记和探针图同步改变，自动对应；横断位视图定位标记追踪血管轨迹时，VR图、MIP图、CPR图和SCPR图的血管段定位线同步滑动</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w:t>
                  </w:r>
                  <w:r>
                    <w:rPr>
                      <w:rFonts w:ascii="仿宋_GB2312" w:hAnsi="仿宋_GB2312" w:cs="仿宋_GB2312" w:eastAsia="仿宋_GB2312"/>
                      <w:sz w:val="19"/>
                    </w:rPr>
                    <w:t>.25</w:t>
                  </w:r>
                </w:p>
              </w:tc>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血管导航列表</w:t>
                  </w:r>
                </w:p>
              </w:tc>
              <w:tc>
                <w:tcPr>
                  <w:tcW w:type="dxa" w:w="1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显示叶级肺动脉分支血管名，一键快捷切换查看</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w:t>
                  </w:r>
                  <w:r>
                    <w:rPr>
                      <w:rFonts w:ascii="仿宋_GB2312" w:hAnsi="仿宋_GB2312" w:cs="仿宋_GB2312" w:eastAsia="仿宋_GB2312"/>
                      <w:sz w:val="19"/>
                    </w:rPr>
                    <w:t>.26</w:t>
                  </w:r>
                </w:p>
              </w:tc>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栓子</w:t>
                  </w:r>
                  <w:r>
                    <w:rPr>
                      <w:rFonts w:ascii="仿宋_GB2312" w:hAnsi="仿宋_GB2312" w:cs="仿宋_GB2312" w:eastAsia="仿宋_GB2312"/>
                      <w:sz w:val="19"/>
                    </w:rPr>
                    <w:t>mask标记</w:t>
                  </w:r>
                </w:p>
              </w:tc>
              <w:tc>
                <w:tcPr>
                  <w:tcW w:type="dxa" w:w="1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栓子区域在</w:t>
                  </w:r>
                  <w:r>
                    <w:rPr>
                      <w:rFonts w:ascii="仿宋_GB2312" w:hAnsi="仿宋_GB2312" w:cs="仿宋_GB2312" w:eastAsia="仿宋_GB2312"/>
                      <w:sz w:val="19"/>
                    </w:rPr>
                    <w:t>MPR/CPR/SCPR图像中支持用mask进行标识，当前选中栓子和未选中栓子的mask区分颜色显示</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w:t>
                  </w:r>
                  <w:r>
                    <w:rPr>
                      <w:rFonts w:ascii="仿宋_GB2312" w:hAnsi="仿宋_GB2312" w:cs="仿宋_GB2312" w:eastAsia="仿宋_GB2312"/>
                      <w:sz w:val="19"/>
                    </w:rPr>
                    <w:t>.27</w:t>
                  </w:r>
                </w:p>
              </w:tc>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栓子轮廓标记</w:t>
                  </w:r>
                </w:p>
              </w:tc>
              <w:tc>
                <w:tcPr>
                  <w:tcW w:type="dxa" w:w="1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栓子区域在</w:t>
                  </w:r>
                  <w:r>
                    <w:rPr>
                      <w:rFonts w:ascii="仿宋_GB2312" w:hAnsi="仿宋_GB2312" w:cs="仿宋_GB2312" w:eastAsia="仿宋_GB2312"/>
                      <w:sz w:val="19"/>
                    </w:rPr>
                    <w:t>MPR图像中支持用线条轮廓进行标识</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w:t>
                  </w:r>
                  <w:r>
                    <w:rPr>
                      <w:rFonts w:ascii="仿宋_GB2312" w:hAnsi="仿宋_GB2312" w:cs="仿宋_GB2312" w:eastAsia="仿宋_GB2312"/>
                      <w:sz w:val="19"/>
                    </w:rPr>
                    <w:t>.28</w:t>
                  </w:r>
                </w:p>
              </w:tc>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心室测量和评估</w:t>
                  </w:r>
                </w:p>
              </w:tc>
              <w:tc>
                <w:tcPr>
                  <w:tcW w:type="dxa" w:w="1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支持自动测量左右心室直径和体积，计算右心室和左心室直径比值和体积比值。支持修改或重新绘制左右心室测量线</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w:t>
                  </w:r>
                  <w:r>
                    <w:rPr>
                      <w:rFonts w:ascii="仿宋_GB2312" w:hAnsi="仿宋_GB2312" w:cs="仿宋_GB2312" w:eastAsia="仿宋_GB2312"/>
                      <w:sz w:val="19"/>
                    </w:rPr>
                    <w:t>.29</w:t>
                  </w:r>
                </w:p>
              </w:tc>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血管测量和评估</w:t>
                  </w:r>
                </w:p>
              </w:tc>
              <w:tc>
                <w:tcPr>
                  <w:tcW w:type="dxa" w:w="1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支持自动测量主肺动脉和升主动脉直径，计算主肺动脉和升主动脉直径比。支持修改或重新绘制主肺动脉、升主动脉测量线</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w:t>
                  </w:r>
                  <w:r>
                    <w:rPr>
                      <w:rFonts w:ascii="仿宋_GB2312" w:hAnsi="仿宋_GB2312" w:cs="仿宋_GB2312" w:eastAsia="仿宋_GB2312"/>
                      <w:sz w:val="19"/>
                    </w:rPr>
                    <w:t>.30</w:t>
                  </w:r>
                </w:p>
              </w:tc>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血栓负荷分数（肺动脉栓塞指数）</w:t>
                  </w:r>
                </w:p>
              </w:tc>
              <w:tc>
                <w:tcPr>
                  <w:tcW w:type="dxa" w:w="1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自动基于栓子分布的肺动脉分支和阻塞程度计算显示血栓负荷分数（肺动脉栓塞指数）</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w:t>
                  </w:r>
                  <w:r>
                    <w:rPr>
                      <w:rFonts w:ascii="仿宋_GB2312" w:hAnsi="仿宋_GB2312" w:cs="仿宋_GB2312" w:eastAsia="仿宋_GB2312"/>
                      <w:sz w:val="19"/>
                    </w:rPr>
                    <w:t>.31</w:t>
                  </w:r>
                </w:p>
              </w:tc>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归档</w:t>
                  </w:r>
                  <w:r>
                    <w:rPr>
                      <w:rFonts w:ascii="仿宋_GB2312" w:hAnsi="仿宋_GB2312" w:cs="仿宋_GB2312" w:eastAsia="仿宋_GB2312"/>
                      <w:sz w:val="19"/>
                    </w:rPr>
                    <w:t>/打印图像类型选取配置</w:t>
                  </w:r>
                </w:p>
              </w:tc>
              <w:tc>
                <w:tcPr>
                  <w:tcW w:type="dxa" w:w="1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可以根据用户习惯对</w:t>
                  </w:r>
                  <w:r>
                    <w:rPr>
                      <w:rFonts w:ascii="仿宋_GB2312" w:hAnsi="仿宋_GB2312" w:cs="仿宋_GB2312" w:eastAsia="仿宋_GB2312"/>
                      <w:sz w:val="19"/>
                    </w:rPr>
                    <w:t>VR图（肺动静脉）、MIP图、CPR图、SCPR图、组合图、MPR图进行选择配置，支持对图像选取规则，比如旋转角度和图像数量进行设置，支持对序列名称进行自定义设置；支持对横断位、冠状位、矢状位的图像数量、层厚以及层间距进行设置；也支持设置心室测量层面、血管测量层面进行归档/打印</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w:t>
                  </w:r>
                  <w:r>
                    <w:rPr>
                      <w:rFonts w:ascii="仿宋_GB2312" w:hAnsi="仿宋_GB2312" w:cs="仿宋_GB2312" w:eastAsia="仿宋_GB2312"/>
                      <w:sz w:val="19"/>
                    </w:rPr>
                    <w:t>.32</w:t>
                  </w:r>
                </w:p>
              </w:tc>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归档预览</w:t>
                  </w:r>
                </w:p>
              </w:tc>
              <w:tc>
                <w:tcPr>
                  <w:tcW w:type="dxa" w:w="1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支持预览归档序列，支持对图像做平移、缩放、调窗、移位、删除、放大查看操作。支持归档预览自动记忆阅片界面窗宽、窗位的修改结果</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w:t>
                  </w:r>
                  <w:r>
                    <w:rPr>
                      <w:rFonts w:ascii="仿宋_GB2312" w:hAnsi="仿宋_GB2312" w:cs="仿宋_GB2312" w:eastAsia="仿宋_GB2312"/>
                      <w:sz w:val="19"/>
                    </w:rPr>
                    <w:t>.33</w:t>
                  </w:r>
                </w:p>
              </w:tc>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报告配置</w:t>
                  </w:r>
                </w:p>
              </w:tc>
              <w:tc>
                <w:tcPr>
                  <w:tcW w:type="dxa" w:w="1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支持配置自动在报告中描述病灶情况、分支完全闭塞情况、主肺动脉和升主动脉直径比、右心室和左心室直径比</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w:t>
                  </w:r>
                  <w:r>
                    <w:rPr>
                      <w:rFonts w:ascii="仿宋_GB2312" w:hAnsi="仿宋_GB2312" w:cs="仿宋_GB2312" w:eastAsia="仿宋_GB2312"/>
                      <w:sz w:val="19"/>
                    </w:rPr>
                    <w:t>.34</w:t>
                  </w:r>
                </w:p>
              </w:tc>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一键切换其他胸痛应用</w:t>
                  </w:r>
                </w:p>
              </w:tc>
              <w:tc>
                <w:tcPr>
                  <w:tcW w:type="dxa" w:w="1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支持在当前应用界面一键切换至其他胸痛分析应用</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w:t>
                  </w:r>
                  <w:r>
                    <w:rPr>
                      <w:rFonts w:ascii="仿宋_GB2312" w:hAnsi="仿宋_GB2312" w:cs="仿宋_GB2312" w:eastAsia="仿宋_GB2312"/>
                      <w:sz w:val="19"/>
                    </w:rPr>
                    <w:t>.35</w:t>
                  </w:r>
                </w:p>
              </w:tc>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患者管理</w:t>
                  </w:r>
                </w:p>
              </w:tc>
              <w:tc>
                <w:tcPr>
                  <w:tcW w:type="dxa" w:w="1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以列表显示数据，并提示肺栓塞阳性病例，并且基于栓子所在位置提示中央型</w:t>
                  </w:r>
                  <w:r>
                    <w:rPr>
                      <w:rFonts w:ascii="仿宋_GB2312" w:hAnsi="仿宋_GB2312" w:cs="仿宋_GB2312" w:eastAsia="仿宋_GB2312"/>
                      <w:sz w:val="19"/>
                    </w:rPr>
                    <w:t>PE/周围型PE</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w:t>
                  </w:r>
                  <w:r>
                    <w:rPr>
                      <w:rFonts w:ascii="仿宋_GB2312" w:hAnsi="仿宋_GB2312" w:cs="仿宋_GB2312" w:eastAsia="仿宋_GB2312"/>
                      <w:sz w:val="19"/>
                    </w:rPr>
                    <w:t>.36</w:t>
                  </w:r>
                </w:p>
              </w:tc>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同屏对比显示</w:t>
                  </w:r>
                </w:p>
              </w:tc>
              <w:tc>
                <w:tcPr>
                  <w:tcW w:type="dxa" w:w="1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可同屏显示</w:t>
                  </w:r>
                  <w:r>
                    <w:rPr>
                      <w:rFonts w:ascii="仿宋_GB2312" w:hAnsi="仿宋_GB2312" w:cs="仿宋_GB2312" w:eastAsia="仿宋_GB2312"/>
                      <w:sz w:val="19"/>
                    </w:rPr>
                    <w:t>2次不同时间的肺栓塞检查图像</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w:t>
                  </w:r>
                  <w:r>
                    <w:rPr>
                      <w:rFonts w:ascii="仿宋_GB2312" w:hAnsi="仿宋_GB2312" w:cs="仿宋_GB2312" w:eastAsia="仿宋_GB2312"/>
                      <w:sz w:val="19"/>
                    </w:rPr>
                    <w:t>.37</w:t>
                  </w:r>
                </w:p>
              </w:tc>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自动匹配</w:t>
                  </w:r>
                </w:p>
              </w:tc>
              <w:tc>
                <w:tcPr>
                  <w:tcW w:type="dxa" w:w="1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根据患者</w:t>
                  </w:r>
                  <w:r>
                    <w:rPr>
                      <w:rFonts w:ascii="仿宋_GB2312" w:hAnsi="仿宋_GB2312" w:cs="仿宋_GB2312" w:eastAsia="仿宋_GB2312"/>
                      <w:sz w:val="19"/>
                    </w:rPr>
                    <w:t>patient ID自动匹配前后两次检查</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w:t>
                  </w:r>
                  <w:r>
                    <w:rPr>
                      <w:rFonts w:ascii="仿宋_GB2312" w:hAnsi="仿宋_GB2312" w:cs="仿宋_GB2312" w:eastAsia="仿宋_GB2312"/>
                      <w:sz w:val="19"/>
                    </w:rPr>
                    <w:t>.38</w:t>
                  </w:r>
                </w:p>
              </w:tc>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同步操作</w:t>
                  </w:r>
                </w:p>
              </w:tc>
              <w:tc>
                <w:tcPr>
                  <w:tcW w:type="dxa" w:w="1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实现</w:t>
                  </w:r>
                  <w:r>
                    <w:rPr>
                      <w:rFonts w:ascii="仿宋_GB2312" w:hAnsi="仿宋_GB2312" w:cs="仿宋_GB2312" w:eastAsia="仿宋_GB2312"/>
                      <w:sz w:val="19"/>
                    </w:rPr>
                    <w:t>2次检查图像同步阅片（翻页、平移、缩放）操作，提供快捷操作设置，支持同步切换MPR/MIP Thin/MinIP功能；便于用户同步观察同一位置栓子变化情况</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w:t>
                  </w:r>
                  <w:r>
                    <w:rPr>
                      <w:rFonts w:ascii="仿宋_GB2312" w:hAnsi="仿宋_GB2312" w:cs="仿宋_GB2312" w:eastAsia="仿宋_GB2312"/>
                      <w:sz w:val="19"/>
                    </w:rPr>
                    <w:t>.39</w:t>
                  </w:r>
                </w:p>
              </w:tc>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生成文本</w:t>
                  </w:r>
                </w:p>
              </w:tc>
              <w:tc>
                <w:tcPr>
                  <w:tcW w:type="dxa" w:w="1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自动生成随访结果文本，可编辑、复制</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w:t>
                  </w:r>
                </w:p>
              </w:tc>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颅内出血</w:t>
                  </w:r>
                  <w:r>
                    <w:rPr>
                      <w:rFonts w:ascii="仿宋_GB2312" w:hAnsi="仿宋_GB2312" w:cs="仿宋_GB2312" w:eastAsia="仿宋_GB2312"/>
                      <w:sz w:val="19"/>
                    </w:rPr>
                    <w:t>CT影像辅助分诊软件</w:t>
                  </w:r>
                </w:p>
              </w:tc>
              <w:tc>
                <w:tcPr>
                  <w:tcW w:type="dxa" w:w="1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w:t>
                  </w:r>
                  <w:r>
                    <w:rPr>
                      <w:rFonts w:ascii="仿宋_GB2312" w:hAnsi="仿宋_GB2312" w:cs="仿宋_GB2312" w:eastAsia="仿宋_GB2312"/>
                      <w:sz w:val="19"/>
                    </w:rPr>
                    <w:t>.1</w:t>
                  </w:r>
                </w:p>
              </w:tc>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医疗器械注册证</w:t>
                  </w:r>
                </w:p>
              </w:tc>
              <w:tc>
                <w:tcPr>
                  <w:tcW w:type="dxa" w:w="1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具备第三类管理类别</w:t>
                  </w:r>
                  <w:r>
                    <w:rPr>
                      <w:rFonts w:ascii="仿宋_GB2312" w:hAnsi="仿宋_GB2312" w:cs="仿宋_GB2312" w:eastAsia="仿宋_GB2312"/>
                      <w:sz w:val="19"/>
                    </w:rPr>
                    <w:t>NMPA医疗器械注册证，提供产品注册证复印件并加盖公章</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w:t>
                  </w:r>
                  <w:r>
                    <w:rPr>
                      <w:rFonts w:ascii="仿宋_GB2312" w:hAnsi="仿宋_GB2312" w:cs="仿宋_GB2312" w:eastAsia="仿宋_GB2312"/>
                      <w:sz w:val="19"/>
                    </w:rPr>
                    <w:t>.2</w:t>
                  </w:r>
                </w:p>
              </w:tc>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出血类型分析</w:t>
                  </w:r>
                </w:p>
              </w:tc>
              <w:tc>
                <w:tcPr>
                  <w:tcW w:type="dxa" w:w="1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支持</w:t>
                  </w:r>
                  <w:r>
                    <w:rPr>
                      <w:rFonts w:ascii="仿宋_GB2312" w:hAnsi="仿宋_GB2312" w:cs="仿宋_GB2312" w:eastAsia="仿宋_GB2312"/>
                      <w:sz w:val="19"/>
                    </w:rPr>
                    <w:t>≥5种出血类型及水肿检测，并提供支持类型明细</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w:t>
                  </w:r>
                  <w:r>
                    <w:rPr>
                      <w:rFonts w:ascii="仿宋_GB2312" w:hAnsi="仿宋_GB2312" w:cs="仿宋_GB2312" w:eastAsia="仿宋_GB2312"/>
                      <w:sz w:val="19"/>
                    </w:rPr>
                    <w:t>.3</w:t>
                  </w:r>
                </w:p>
              </w:tc>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识别率</w:t>
                  </w:r>
                </w:p>
              </w:tc>
              <w:tc>
                <w:tcPr>
                  <w:tcW w:type="dxa" w:w="1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五种病灶亚型识别中</w:t>
                  </w:r>
                  <w:r>
                    <w:rPr>
                      <w:rFonts w:ascii="仿宋_GB2312" w:hAnsi="仿宋_GB2312" w:cs="仿宋_GB2312" w:eastAsia="仿宋_GB2312"/>
                      <w:sz w:val="19"/>
                    </w:rPr>
                    <w:t>AUC均≥0.84，提供第三方检测报告或论文证明</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w:t>
                  </w:r>
                  <w:r>
                    <w:rPr>
                      <w:rFonts w:ascii="仿宋_GB2312" w:hAnsi="仿宋_GB2312" w:cs="仿宋_GB2312" w:eastAsia="仿宋_GB2312"/>
                      <w:sz w:val="19"/>
                    </w:rPr>
                    <w:t>.4</w:t>
                  </w:r>
                </w:p>
              </w:tc>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特异度</w:t>
                  </w:r>
                </w:p>
              </w:tc>
              <w:tc>
                <w:tcPr>
                  <w:tcW w:type="dxa" w:w="1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特异度均大于</w:t>
                  </w:r>
                  <w:r>
                    <w:rPr>
                      <w:rFonts w:ascii="仿宋_GB2312" w:hAnsi="仿宋_GB2312" w:cs="仿宋_GB2312" w:eastAsia="仿宋_GB2312"/>
                      <w:sz w:val="19"/>
                    </w:rPr>
                    <w:t>0.95，提供第三方检测报告或论文证明</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w:t>
                  </w:r>
                  <w:r>
                    <w:rPr>
                      <w:rFonts w:ascii="仿宋_GB2312" w:hAnsi="仿宋_GB2312" w:cs="仿宋_GB2312" w:eastAsia="仿宋_GB2312"/>
                      <w:sz w:val="19"/>
                    </w:rPr>
                    <w:t>.5</w:t>
                  </w:r>
                </w:p>
              </w:tc>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出血定位</w:t>
                  </w:r>
                </w:p>
              </w:tc>
              <w:tc>
                <w:tcPr>
                  <w:tcW w:type="dxa" w:w="1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自动定位出血所在脑区，支持</w:t>
                  </w:r>
                  <w:r>
                    <w:rPr>
                      <w:rFonts w:ascii="仿宋_GB2312" w:hAnsi="仿宋_GB2312" w:cs="仿宋_GB2312" w:eastAsia="仿宋_GB2312"/>
                      <w:sz w:val="19"/>
                    </w:rPr>
                    <w:t>≥15个脑区</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w:t>
                  </w:r>
                  <w:r>
                    <w:rPr>
                      <w:rFonts w:ascii="仿宋_GB2312" w:hAnsi="仿宋_GB2312" w:cs="仿宋_GB2312" w:eastAsia="仿宋_GB2312"/>
                      <w:sz w:val="19"/>
                    </w:rPr>
                    <w:t>.6</w:t>
                  </w:r>
                </w:p>
              </w:tc>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脑疝辅助分析</w:t>
                  </w:r>
                </w:p>
              </w:tc>
              <w:tc>
                <w:tcPr>
                  <w:tcW w:type="dxa" w:w="1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测量并显示最大中线偏移距离，平均误差小于</w:t>
                  </w:r>
                  <w:r>
                    <w:rPr>
                      <w:rFonts w:ascii="仿宋_GB2312" w:hAnsi="仿宋_GB2312" w:cs="仿宋_GB2312" w:eastAsia="仿宋_GB2312"/>
                      <w:sz w:val="19"/>
                    </w:rPr>
                    <w:t>1.5mm，提供第三方检测报告或论文证明。自动分割侧脑室轮廓，并显示侧脑室受压比值</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w:t>
                  </w:r>
                  <w:r>
                    <w:rPr>
                      <w:rFonts w:ascii="仿宋_GB2312" w:hAnsi="仿宋_GB2312" w:cs="仿宋_GB2312" w:eastAsia="仿宋_GB2312"/>
                      <w:sz w:val="19"/>
                    </w:rPr>
                    <w:t>.7</w:t>
                  </w:r>
                </w:p>
              </w:tc>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单病灶随访</w:t>
                  </w:r>
                </w:p>
              </w:tc>
              <w:tc>
                <w:tcPr>
                  <w:tcW w:type="dxa" w:w="1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支持脑实质出血、硬膜下出血、硬膜外出血三种出血类型的单个病灶的历史多次随访，可联动查看单个病灶多次随访图像、体积及</w:t>
                  </w:r>
                  <w:r>
                    <w:rPr>
                      <w:rFonts w:ascii="仿宋_GB2312" w:hAnsi="仿宋_GB2312" w:cs="仿宋_GB2312" w:eastAsia="仿宋_GB2312"/>
                      <w:sz w:val="19"/>
                    </w:rPr>
                    <w:t>CT值的量化对比结果和变化曲线</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w:t>
                  </w:r>
                  <w:r>
                    <w:rPr>
                      <w:rFonts w:ascii="仿宋_GB2312" w:hAnsi="仿宋_GB2312" w:cs="仿宋_GB2312" w:eastAsia="仿宋_GB2312"/>
                      <w:sz w:val="19"/>
                    </w:rPr>
                    <w:t>.8</w:t>
                  </w:r>
                </w:p>
              </w:tc>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危急预警</w:t>
                  </w:r>
                </w:p>
              </w:tc>
              <w:tc>
                <w:tcPr>
                  <w:tcW w:type="dxa" w:w="1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设定出血体积、中线移位、出血体积增大占比等阈值，对于超过阈值的病灶进行危急预警</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w:t>
                  </w:r>
                  <w:r>
                    <w:rPr>
                      <w:rFonts w:ascii="仿宋_GB2312" w:hAnsi="仿宋_GB2312" w:cs="仿宋_GB2312" w:eastAsia="仿宋_GB2312"/>
                      <w:sz w:val="19"/>
                    </w:rPr>
                    <w:t>.9</w:t>
                  </w:r>
                </w:p>
              </w:tc>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量表分析</w:t>
                  </w:r>
                </w:p>
              </w:tc>
              <w:tc>
                <w:tcPr>
                  <w:tcW w:type="dxa" w:w="1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提供</w:t>
                  </w:r>
                  <w:r>
                    <w:rPr>
                      <w:rFonts w:ascii="仿宋_GB2312" w:hAnsi="仿宋_GB2312" w:cs="仿宋_GB2312" w:eastAsia="仿宋_GB2312"/>
                      <w:sz w:val="19"/>
                    </w:rPr>
                    <w:t>ICH量表和改良FISHER分级</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w:t>
                  </w:r>
                  <w:r>
                    <w:rPr>
                      <w:rFonts w:ascii="仿宋_GB2312" w:hAnsi="仿宋_GB2312" w:cs="仿宋_GB2312" w:eastAsia="仿宋_GB2312"/>
                      <w:sz w:val="19"/>
                    </w:rPr>
                    <w:t>.10</w:t>
                  </w:r>
                </w:p>
              </w:tc>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图文报告</w:t>
                  </w:r>
                </w:p>
              </w:tc>
              <w:tc>
                <w:tcPr>
                  <w:tcW w:type="dxa" w:w="1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提供患者信息、当前检查和上一次检查的病灶影像、病灶信息及病灶随访信息展示患者当前危急值项目和影像所见</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满足项目采购要求配备</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满足项目采购要求配备</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软件配置服务期限7天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合同签订半年后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合同签订一年后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1、本合同及合同附件。2、国家相应的标准、规范。3、单一来源采购文件、单一来源采购响应文件、澄清表（函）等。</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 （1）除不可抗力或乙方不可能控制的因素导致的情形外，因为乙方无故不履行合同或者履行合同不符合约定给甲方造成损失的，乙方负责赔偿直接损失，该损失赔偿额最高不超过本合同签署时双方约定的合同价款。 （2）如因甲方或其代表使用不当（如违反操作手册所载规程操作）等原因而使乙方额外提供劳务或更换备件，乙方有权要求甲方承担因此发生的相关费用。 争议解决： 双方应本着友好协商的原则解决争议。如协商不成时，任何一方均可就争议的事宜向甲方所在地人民法院进行诉讼解决。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采购标的对应的中小企业划分标准所属行业为：其他未列明行业。划型标准为：从业人员300人以下的为中小微型企业。其中，从业人员100人及以上的为中型企业；从业人员10人及以上的为小型企业；从业人员10人以下的为微型企业。2、需要落实的政府采购政策：（1）、《国务院办公厅关于建立政府强制采购节能产品制度的通知》（国办发〔2007〕51号）；（2）、《财政部司法部关于政府采购支持监狱企业发展有关问题的通知》（财库〔2014〕68号）；（3）、《三部门联合发布关于促进残疾人就业政府采购政策的通知》（财库〔2017〕141号）；（4）、《财政部发展改革委生态环境部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3、供应商需要在线提交所有通过电子化交易平台实施的政府采购项目的响应文件，同时，线下提交纸质响应文件壹份。4、本项目专门面向中小企业采购（残疾人福利性单位、监狱企业视同小型、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第一次报价表及分项报价表.docx 标的清单 承诺书.docx 报价表 服务内容及服务邀请应答表.docx 商务应答表.docx 响应函 资格证明文件.docx 供应商认为有必要说明的其他事项.docx 身份证明文件.docx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法人或者其他组织提供营业执照、事业单位法人证书等证明文件，自然人提供身份证件，供应商需在项目电子化交易系统中按要求上传相应证明文件并进行电子签章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身份证明文件</w:t>
            </w:r>
          </w:p>
        </w:tc>
        <w:tc>
          <w:tcPr>
            <w:tcW w:type="dxa" w:w="3322"/>
          </w:tcPr>
          <w:p>
            <w:pPr>
              <w:pStyle w:val="null3"/>
            </w:pPr>
            <w:r>
              <w:rPr>
                <w:rFonts w:ascii="仿宋_GB2312" w:hAnsi="仿宋_GB2312" w:cs="仿宋_GB2312" w:eastAsia="仿宋_GB2312"/>
              </w:rPr>
              <w:t>法定代表人（单位负责人）授权委托书（附法定代表人（单位负责人）、被授权人身份证复印件及被授权人近三个月（开标时间前连续三个月（不含开标当月））社保缴纳的证明资料）（法定代表人（单位负责人）直接参加的，须提供法定代表人（单位负责人）身份证明书及身份证复印件且与营业执照上信息须一致），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 身份证明文件.docx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税收缴纳凭证及社会保险缴纳的凭证</w:t>
            </w:r>
          </w:p>
        </w:tc>
        <w:tc>
          <w:tcPr>
            <w:tcW w:type="dxa" w:w="3322"/>
          </w:tcPr>
          <w:p>
            <w:pPr>
              <w:pStyle w:val="null3"/>
            </w:pPr>
            <w:r>
              <w:rPr>
                <w:rFonts w:ascii="仿宋_GB2312" w:hAnsi="仿宋_GB2312" w:cs="仿宋_GB2312" w:eastAsia="仿宋_GB2312"/>
              </w:rPr>
              <w:t>供应商在本项目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供应商提供2024年度经审计的财务审计报告（事业法人可提供部门决算报告）；或提供开标日前三个月内基本存款账户银行出具的资信证明及基本存款账户银行相关证明资料；或提供政府采购专业担保机构出具的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参加政府采购活动前3年内在经营活动中没有重大违法记录的书面声明；其中：重大违法记录是指供应商因违法经营受到刑事处罚或者责令停产停业、吊销许可证或者执照、较大数额罚款等行政处罚</w:t>
            </w:r>
          </w:p>
        </w:tc>
        <w:tc>
          <w:tcPr>
            <w:tcW w:type="dxa" w:w="3322"/>
          </w:tcPr>
          <w:p>
            <w:pPr>
              <w:pStyle w:val="null3"/>
            </w:pPr>
            <w:r>
              <w:rPr>
                <w:rFonts w:ascii="仿宋_GB2312" w:hAnsi="仿宋_GB2312" w:cs="仿宋_GB2312" w:eastAsia="仿宋_GB2312"/>
              </w:rPr>
              <w:t>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履行合同所必需的设备和专业技术能力书面声明函</w:t>
            </w:r>
          </w:p>
        </w:tc>
        <w:tc>
          <w:tcPr>
            <w:tcW w:type="dxa" w:w="3322"/>
          </w:tcPr>
          <w:p>
            <w:pPr>
              <w:pStyle w:val="null3"/>
            </w:pPr>
            <w:r>
              <w:rPr>
                <w:rFonts w:ascii="仿宋_GB2312" w:hAnsi="仿宋_GB2312" w:cs="仿宋_GB2312" w:eastAsia="仿宋_GB2312"/>
              </w:rPr>
              <w:t>具有履行合同所必需的设备和专业技术能力书面声明函，供应商需在项目电子化交易系统中按要求上传相应证明文件并进行电子签章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身份证明文件.docx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供应商具有《医疗器械经营许可证》，供应商需在项目电子化交易系统中按要求上传相应证明文件并进行电子签章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承诺要求</w:t>
            </w:r>
          </w:p>
        </w:tc>
        <w:tc>
          <w:tcPr>
            <w:tcW w:type="dxa" w:w="3322"/>
          </w:tcPr>
          <w:p>
            <w:pPr>
              <w:pStyle w:val="null3"/>
            </w:pPr>
            <w:r>
              <w:rPr>
                <w:rFonts w:ascii="仿宋_GB2312" w:hAnsi="仿宋_GB2312" w:cs="仿宋_GB2312" w:eastAsia="仿宋_GB2312"/>
              </w:rPr>
              <w:t>本项目不接受由西安市阎良区人民医院职工投资的企业参加，供应商需在项目电子化交易系统中按要求上传相应承诺函并进行电子签章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供应商信用状况</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网站查询结果为准</w:t>
            </w:r>
          </w:p>
        </w:tc>
        <w:tc>
          <w:tcPr>
            <w:tcW w:type="dxa" w:w="1661"/>
          </w:tcPr>
          <w:p>
            <w:pPr>
              <w:pStyle w:val="null3"/>
            </w:pPr>
            <w:r>
              <w:rPr>
                <w:rFonts w:ascii="仿宋_GB2312" w:hAnsi="仿宋_GB2312" w:cs="仿宋_GB2312" w:eastAsia="仿宋_GB2312"/>
              </w:rPr>
              <w:t>响应文件封面 第一次报价表及分项报价表.docx 标的清单 承诺书.docx 报价表 服务内容及服务邀请应答表.docx 商务应答表.docx 响应函 资格证明文件.docx 供应商认为有必要说明的其他事项.docx 身份证明文件.docx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第一次报价表及分项报价表.docx 标的清单 承诺书.docx 报价表 服务内容及服务邀请应答表.docx 商务应答表.docx 响应函 资格证明文件.docx 供应商认为有必要说明的其他事项.docx 身份证明文件.docx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响应文件封面 第一次报价表及分项报价表.docx 标的清单 承诺书.docx 报价表 服务内容及服务邀请应答表.docx 商务应答表.docx 响应函 资格证明文件.docx 供应商认为有必要说明的其他事项.docx 身份证明文件.docx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第一次报价表及分项报价表.docx 标的清单 承诺书.docx 报价表 服务内容及服务邀请应答表.docx 商务应答表.docx 响应函 资格证明文件.docx 供应商认为有必要说明的其他事项.docx 身份证明文件.docx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响应文件的签署、盖章、有效性</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响应文件封面 第一次报价表及分项报价表.docx 标的清单 承诺书.docx 报价表 服务内容及服务邀请应答表.docx 商务应答表.docx 响应函 资格证明文件.docx 供应商认为有必要说明的其他事项.docx 身份证明文件.docx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提交响应文件的截止之日起90天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唯一报价，并未超出采购预算或最高限价</w:t>
            </w:r>
          </w:p>
        </w:tc>
        <w:tc>
          <w:tcPr>
            <w:tcW w:type="dxa" w:w="1661"/>
          </w:tcPr>
          <w:p>
            <w:pPr>
              <w:pStyle w:val="null3"/>
            </w:pPr>
            <w:r>
              <w:rPr>
                <w:rFonts w:ascii="仿宋_GB2312" w:hAnsi="仿宋_GB2312" w:cs="仿宋_GB2312" w:eastAsia="仿宋_GB2312"/>
              </w:rPr>
              <w:t>第一次报价表及分项报价表.docx 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对采购文件响应程度要全面响应，不能有任何采购人不能接受的附加条件</w:t>
            </w:r>
          </w:p>
        </w:tc>
        <w:tc>
          <w:tcPr>
            <w:tcW w:type="dxa" w:w="1661"/>
          </w:tcPr>
          <w:p>
            <w:pPr>
              <w:pStyle w:val="null3"/>
            </w:pPr>
            <w:r>
              <w:rPr>
                <w:rFonts w:ascii="仿宋_GB2312" w:hAnsi="仿宋_GB2312" w:cs="仿宋_GB2312" w:eastAsia="仿宋_GB2312"/>
              </w:rPr>
              <w:t>响应文件封面 第一次报价表及分项报价表.docx 标的清单 承诺书.docx 报价表 服务内容及服务邀请应答表.docx 商务应答表.docx 响应函 资格证明文件.docx 供应商认为有必要说明的其他事项.docx 身份证明文件.docx</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详见附件：第一次报价表及分项报价表.docx</w:t>
      </w:r>
    </w:p>
    <w:p>
      <w:pPr>
        <w:pStyle w:val="null3"/>
        <w:ind w:firstLine="960"/>
      </w:pPr>
      <w:r>
        <w:rPr>
          <w:rFonts w:ascii="仿宋_GB2312" w:hAnsi="仿宋_GB2312" w:cs="仿宋_GB2312" w:eastAsia="仿宋_GB2312"/>
        </w:rPr>
        <w:t>详见附件：服务内容及服务邀请应答表.docx</w:t>
      </w:r>
    </w:p>
    <w:p>
      <w:pPr>
        <w:pStyle w:val="null3"/>
        <w:ind w:firstLine="960"/>
      </w:pPr>
      <w:r>
        <w:rPr>
          <w:rFonts w:ascii="仿宋_GB2312" w:hAnsi="仿宋_GB2312" w:cs="仿宋_GB2312" w:eastAsia="仿宋_GB2312"/>
        </w:rPr>
        <w:t>详见附件：供应商认为有必要说明的其他事项.docx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详见附件：身份证明文件.docx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详见附件：政府采购合同格式.docx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