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65912">
      <w:pPr>
        <w:spacing w:line="360" w:lineRule="auto"/>
        <w:rPr>
          <w:b/>
          <w:color w:val="000000"/>
          <w:sz w:val="24"/>
          <w:szCs w:val="24"/>
          <w:lang w:eastAsia="zh-CN"/>
        </w:rPr>
      </w:pPr>
      <w:bookmarkStart w:id="0" w:name="_Toc191876958"/>
      <w:bookmarkStart w:id="1" w:name="_Toc19188"/>
      <w:bookmarkStart w:id="2" w:name="_Toc11035"/>
      <w:r>
        <w:rPr>
          <w:rFonts w:hint="eastAsia"/>
          <w:b/>
          <w:color w:val="000000"/>
          <w:sz w:val="24"/>
          <w:szCs w:val="24"/>
          <w:lang w:eastAsia="zh-CN"/>
        </w:rPr>
        <w:t>政府采购合同格式</w:t>
      </w:r>
    </w:p>
    <w:p w14:paraId="1A004C56">
      <w:pPr>
        <w:spacing w:line="360" w:lineRule="auto"/>
        <w:jc w:val="center"/>
        <w:rPr>
          <w:color w:val="000000"/>
          <w:sz w:val="24"/>
          <w:szCs w:val="24"/>
          <w:lang w:eastAsia="zh-CN"/>
        </w:rPr>
      </w:pPr>
    </w:p>
    <w:bookmarkEnd w:id="0"/>
    <w:bookmarkEnd w:id="1"/>
    <w:bookmarkEnd w:id="2"/>
    <w:p w14:paraId="5EC1EF35">
      <w:pPr>
        <w:jc w:val="center"/>
        <w:rPr>
          <w:b/>
          <w:color w:val="000000"/>
          <w:spacing w:val="-20"/>
          <w:sz w:val="58"/>
          <w:szCs w:val="58"/>
          <w:lang w:eastAsia="zh-CN"/>
        </w:rPr>
      </w:pPr>
    </w:p>
    <w:p w14:paraId="271B82F2">
      <w:pPr>
        <w:jc w:val="center"/>
        <w:rPr>
          <w:b/>
          <w:color w:val="000000"/>
          <w:spacing w:val="-20"/>
          <w:sz w:val="52"/>
          <w:szCs w:val="52"/>
          <w:lang w:eastAsia="zh-CN"/>
        </w:rPr>
      </w:pPr>
      <w:r>
        <w:rPr>
          <w:rFonts w:hint="eastAsia"/>
          <w:b/>
          <w:color w:val="000000"/>
          <w:spacing w:val="-20"/>
          <w:sz w:val="52"/>
          <w:szCs w:val="52"/>
          <w:lang w:eastAsia="zh-CN"/>
        </w:rPr>
        <w:t>联影860CT机维保（含AI软件）服务</w:t>
      </w:r>
    </w:p>
    <w:p w14:paraId="4A2F6FFC">
      <w:pPr>
        <w:jc w:val="center"/>
        <w:rPr>
          <w:b/>
          <w:color w:val="000000"/>
          <w:spacing w:val="-20"/>
          <w:sz w:val="52"/>
          <w:szCs w:val="52"/>
          <w:lang w:eastAsia="zh-CN"/>
        </w:rPr>
      </w:pPr>
    </w:p>
    <w:p w14:paraId="6BC3F6CB">
      <w:pPr>
        <w:jc w:val="center"/>
        <w:rPr>
          <w:b/>
          <w:color w:val="000000"/>
          <w:sz w:val="72"/>
          <w:szCs w:val="72"/>
          <w:lang w:eastAsia="zh-CN"/>
        </w:rPr>
      </w:pPr>
      <w:r>
        <w:rPr>
          <w:rFonts w:hint="eastAsia"/>
          <w:b/>
          <w:color w:val="000000"/>
          <w:sz w:val="24"/>
          <w:szCs w:val="24"/>
          <w:lang w:eastAsia="zh-CN"/>
        </w:rPr>
        <w:t>（本格式条款供甲方和成交单位双方签订合同参考，甲方可根据项目的实际情况增减条款和内容）</w:t>
      </w:r>
    </w:p>
    <w:p w14:paraId="7B740FC4">
      <w:pPr>
        <w:jc w:val="center"/>
        <w:rPr>
          <w:b/>
          <w:color w:val="000000"/>
          <w:sz w:val="52"/>
          <w:szCs w:val="52"/>
          <w:lang w:eastAsia="zh-CN"/>
        </w:rPr>
      </w:pPr>
    </w:p>
    <w:p w14:paraId="73D0BAD7">
      <w:pPr>
        <w:jc w:val="center"/>
        <w:rPr>
          <w:b/>
          <w:color w:val="000000"/>
          <w:sz w:val="52"/>
          <w:szCs w:val="52"/>
          <w:lang w:eastAsia="zh-CN"/>
        </w:rPr>
      </w:pPr>
      <w:r>
        <w:rPr>
          <w:rFonts w:hint="eastAsia"/>
          <w:b/>
          <w:color w:val="000000"/>
          <w:sz w:val="52"/>
          <w:szCs w:val="52"/>
          <w:lang w:val="en-US" w:eastAsia="zh-CN"/>
        </w:rPr>
        <w:t>服务合同</w:t>
      </w:r>
    </w:p>
    <w:p w14:paraId="27894537">
      <w:pPr>
        <w:spacing w:line="360" w:lineRule="auto"/>
        <w:ind w:firstLine="2400" w:firstLineChars="800"/>
        <w:rPr>
          <w:rFonts w:hint="eastAsia"/>
          <w:color w:val="000000"/>
          <w:sz w:val="30"/>
          <w:szCs w:val="30"/>
          <w:lang w:eastAsia="zh-CN"/>
        </w:rPr>
      </w:pPr>
      <w:r>
        <w:rPr>
          <w:rFonts w:hint="eastAsia"/>
          <w:color w:val="000000"/>
          <w:sz w:val="30"/>
          <w:szCs w:val="30"/>
          <w:lang w:eastAsia="zh-CN"/>
        </w:rPr>
        <w:t xml:space="preserve">   </w:t>
      </w:r>
    </w:p>
    <w:p w14:paraId="5461CA11">
      <w:pPr>
        <w:spacing w:line="360" w:lineRule="auto"/>
        <w:ind w:firstLine="3600" w:firstLineChars="1200"/>
        <w:rPr>
          <w:color w:val="000000"/>
          <w:sz w:val="24"/>
          <w:szCs w:val="24"/>
          <w:lang w:eastAsia="zh-CN"/>
        </w:rPr>
      </w:pPr>
      <w:r>
        <w:rPr>
          <w:rFonts w:hint="eastAsia"/>
          <w:color w:val="000000"/>
          <w:sz w:val="30"/>
          <w:szCs w:val="30"/>
          <w:lang w:eastAsia="zh-CN"/>
        </w:rPr>
        <w:t>项目编号：</w:t>
      </w:r>
    </w:p>
    <w:p w14:paraId="649AF8E2">
      <w:pPr>
        <w:jc w:val="center"/>
        <w:rPr>
          <w:color w:val="000000"/>
          <w:sz w:val="30"/>
          <w:szCs w:val="30"/>
          <w:lang w:eastAsia="zh-CN"/>
        </w:rPr>
      </w:pPr>
    </w:p>
    <w:p w14:paraId="614AC67C">
      <w:pPr>
        <w:jc w:val="center"/>
        <w:rPr>
          <w:color w:val="000000"/>
          <w:sz w:val="30"/>
          <w:szCs w:val="30"/>
          <w:lang w:eastAsia="zh-CN"/>
        </w:rPr>
      </w:pPr>
    </w:p>
    <w:p w14:paraId="48D2A5FE">
      <w:pPr>
        <w:jc w:val="center"/>
        <w:rPr>
          <w:color w:val="000000"/>
          <w:sz w:val="30"/>
          <w:szCs w:val="30"/>
          <w:lang w:eastAsia="zh-CN"/>
        </w:rPr>
      </w:pPr>
    </w:p>
    <w:p w14:paraId="58D3FC6F">
      <w:pPr>
        <w:rPr>
          <w:color w:val="000000"/>
          <w:sz w:val="32"/>
          <w:szCs w:val="32"/>
          <w:lang w:eastAsia="zh-CN"/>
        </w:rPr>
      </w:pPr>
      <w:r>
        <w:rPr>
          <w:rFonts w:hint="eastAsia"/>
          <w:color w:val="000000"/>
          <w:sz w:val="32"/>
          <w:szCs w:val="32"/>
          <w:lang w:eastAsia="zh-CN"/>
        </w:rPr>
        <w:t>甲  方：西安市阎良区人民医院</w:t>
      </w:r>
    </w:p>
    <w:p w14:paraId="0D821B6C">
      <w:pPr>
        <w:rPr>
          <w:color w:val="000000"/>
          <w:sz w:val="32"/>
          <w:szCs w:val="32"/>
          <w:lang w:eastAsia="zh-CN"/>
        </w:rPr>
      </w:pPr>
    </w:p>
    <w:p w14:paraId="54B26252">
      <w:pPr>
        <w:rPr>
          <w:color w:val="000000"/>
          <w:sz w:val="32"/>
          <w:szCs w:val="32"/>
          <w:lang w:eastAsia="zh-CN"/>
        </w:rPr>
      </w:pPr>
      <w:r>
        <w:rPr>
          <w:rFonts w:hint="eastAsia"/>
          <w:color w:val="000000"/>
          <w:sz w:val="32"/>
          <w:szCs w:val="32"/>
          <w:lang w:eastAsia="zh-CN"/>
        </w:rPr>
        <w:t>乙  方：</w:t>
      </w:r>
    </w:p>
    <w:p w14:paraId="625E24CD">
      <w:pPr>
        <w:rPr>
          <w:color w:val="000000"/>
          <w:sz w:val="32"/>
          <w:szCs w:val="32"/>
          <w:lang w:eastAsia="zh-CN"/>
        </w:rPr>
      </w:pPr>
      <w:r>
        <w:rPr>
          <w:rFonts w:hint="eastAsia"/>
          <w:color w:val="000000"/>
          <w:sz w:val="32"/>
          <w:szCs w:val="32"/>
          <w:lang w:eastAsia="zh-CN"/>
        </w:rPr>
        <w:t xml:space="preserve"> </w:t>
      </w:r>
    </w:p>
    <w:p w14:paraId="07B5BEDE">
      <w:pPr>
        <w:jc w:val="center"/>
        <w:rPr>
          <w:color w:val="000000"/>
          <w:sz w:val="32"/>
          <w:szCs w:val="32"/>
          <w:lang w:eastAsia="zh-CN"/>
        </w:rPr>
      </w:pPr>
      <w:r>
        <w:rPr>
          <w:rFonts w:hint="eastAsia"/>
          <w:color w:val="000000"/>
          <w:sz w:val="32"/>
          <w:szCs w:val="32"/>
          <w:lang w:eastAsia="zh-CN"/>
        </w:rPr>
        <w:t>20   年  月</w:t>
      </w:r>
    </w:p>
    <w:p w14:paraId="5F2F0C69">
      <w:pPr>
        <w:rPr>
          <w:b/>
          <w:color w:val="000000"/>
          <w:sz w:val="36"/>
          <w:szCs w:val="36"/>
          <w:lang w:eastAsia="zh-CN"/>
        </w:rPr>
      </w:pPr>
    </w:p>
    <w:p w14:paraId="5E86AAA6">
      <w:pPr>
        <w:adjustRightInd w:val="0"/>
        <w:snapToGrid w:val="0"/>
        <w:spacing w:line="384" w:lineRule="auto"/>
        <w:rPr>
          <w:rFonts w:cs="仿宋_GB2312"/>
          <w:bCs/>
          <w:sz w:val="21"/>
          <w:szCs w:val="21"/>
          <w:lang w:eastAsia="zh-CN"/>
        </w:rPr>
      </w:pPr>
      <w:r>
        <w:rPr>
          <w:b/>
          <w:color w:val="000000"/>
          <w:szCs w:val="32"/>
          <w:lang w:eastAsia="zh-CN"/>
        </w:rPr>
        <w:br w:type="page"/>
      </w:r>
      <w:r>
        <w:rPr>
          <w:rFonts w:hint="eastAsia" w:cs="仿宋_GB2312"/>
          <w:bCs/>
          <w:sz w:val="21"/>
          <w:szCs w:val="21"/>
          <w:lang w:eastAsia="zh-CN"/>
        </w:rPr>
        <w:t>甲方（甲方）：</w:t>
      </w:r>
    </w:p>
    <w:p w14:paraId="081742A7">
      <w:pPr>
        <w:adjustRightInd w:val="0"/>
        <w:snapToGrid w:val="0"/>
        <w:spacing w:line="384" w:lineRule="auto"/>
        <w:rPr>
          <w:rFonts w:cs="仿宋_GB2312"/>
          <w:bCs/>
          <w:sz w:val="21"/>
          <w:szCs w:val="21"/>
          <w:lang w:eastAsia="zh-CN"/>
        </w:rPr>
      </w:pPr>
      <w:r>
        <w:rPr>
          <w:rFonts w:hint="eastAsia" w:cs="仿宋_GB2312"/>
          <w:bCs/>
          <w:sz w:val="21"/>
          <w:szCs w:val="21"/>
          <w:lang w:eastAsia="zh-CN"/>
        </w:rPr>
        <w:t>乙方（供应商）：</w:t>
      </w:r>
    </w:p>
    <w:p w14:paraId="21EBAEB0">
      <w:pPr>
        <w:spacing w:line="360" w:lineRule="auto"/>
        <w:ind w:firstLine="420" w:firstLineChars="200"/>
        <w:rPr>
          <w:sz w:val="21"/>
          <w:szCs w:val="21"/>
        </w:rPr>
      </w:pPr>
      <w:r>
        <w:rPr>
          <w:rFonts w:hint="eastAsia"/>
          <w:sz w:val="21"/>
          <w:szCs w:val="21"/>
        </w:rPr>
        <w:t>根据《中华人民共和国民法典》及其他相关法律法规的规定，甲乙双方在平等、自愿的基础上，就提供设备维修保养服务达成如下共识：</w:t>
      </w:r>
    </w:p>
    <w:p w14:paraId="6999570C">
      <w:pPr>
        <w:spacing w:line="360" w:lineRule="auto"/>
        <w:rPr>
          <w:rFonts w:ascii="宋体" w:hAnsi="宋体" w:eastAsia="宋体" w:cs="宋体"/>
          <w:b/>
          <w:bCs/>
          <w:sz w:val="21"/>
          <w:szCs w:val="21"/>
        </w:rPr>
      </w:pPr>
      <w:r>
        <w:rPr>
          <w:rFonts w:hint="eastAsia" w:ascii="宋体" w:hAnsi="宋体" w:eastAsia="宋体" w:cs="宋体"/>
          <w:b/>
          <w:bCs/>
          <w:sz w:val="21"/>
          <w:szCs w:val="21"/>
        </w:rPr>
        <w:t>1.维保服务所保设备及服务期限、价格</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8"/>
        <w:gridCol w:w="1048"/>
        <w:gridCol w:w="2113"/>
        <w:gridCol w:w="1658"/>
        <w:gridCol w:w="2322"/>
      </w:tblGrid>
      <w:tr w14:paraId="4B964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 w:hRule="atLeast"/>
        </w:trPr>
        <w:tc>
          <w:tcPr>
            <w:tcW w:w="809" w:type="pct"/>
          </w:tcPr>
          <w:p w14:paraId="3AAD61A5">
            <w:pPr>
              <w:pStyle w:val="5"/>
              <w:widowControl/>
              <w:spacing w:after="156"/>
              <w:jc w:val="left"/>
              <w:rPr>
                <w:rFonts w:ascii="宋体" w:hAnsi="宋体" w:eastAsia="宋体" w:cs="宋体"/>
                <w:b/>
                <w:bCs/>
                <w:color w:val="000000"/>
                <w:sz w:val="21"/>
                <w:szCs w:val="21"/>
              </w:rPr>
            </w:pPr>
            <w:r>
              <w:rPr>
                <w:rFonts w:hint="eastAsia" w:cs="宋体"/>
                <w:b/>
                <w:bCs/>
                <w:color w:val="000000"/>
                <w:sz w:val="21"/>
                <w:szCs w:val="21"/>
                <w:lang w:val="en-US" w:eastAsia="zh-CN"/>
              </w:rPr>
              <w:t>项目名称</w:t>
            </w:r>
          </w:p>
        </w:tc>
        <w:tc>
          <w:tcPr>
            <w:tcW w:w="615" w:type="pct"/>
          </w:tcPr>
          <w:p w14:paraId="2887BB34">
            <w:pPr>
              <w:pStyle w:val="5"/>
              <w:widowControl/>
              <w:spacing w:after="156"/>
              <w:jc w:val="left"/>
              <w:rPr>
                <w:rFonts w:ascii="宋体" w:hAnsi="宋体" w:eastAsia="宋体" w:cs="宋体"/>
                <w:b/>
                <w:bCs/>
                <w:color w:val="000000"/>
                <w:sz w:val="21"/>
                <w:szCs w:val="21"/>
              </w:rPr>
            </w:pPr>
            <w:r>
              <w:rPr>
                <w:rFonts w:hint="eastAsia" w:ascii="宋体" w:hAnsi="宋体" w:eastAsia="宋体" w:cs="宋体"/>
                <w:b/>
                <w:bCs/>
                <w:color w:val="000000"/>
                <w:sz w:val="21"/>
                <w:szCs w:val="21"/>
              </w:rPr>
              <w:t>设备</w:t>
            </w:r>
          </w:p>
        </w:tc>
        <w:tc>
          <w:tcPr>
            <w:tcW w:w="1240" w:type="pct"/>
          </w:tcPr>
          <w:p w14:paraId="7A257F92">
            <w:pPr>
              <w:pStyle w:val="5"/>
              <w:widowControl/>
              <w:spacing w:after="50"/>
              <w:jc w:val="left"/>
              <w:rPr>
                <w:rFonts w:ascii="宋体" w:hAnsi="宋体" w:eastAsia="宋体" w:cs="宋体"/>
                <w:b/>
                <w:bCs/>
                <w:color w:val="000000"/>
                <w:sz w:val="21"/>
                <w:szCs w:val="21"/>
              </w:rPr>
            </w:pPr>
            <w:r>
              <w:rPr>
                <w:rFonts w:hint="eastAsia" w:ascii="宋体" w:hAnsi="宋体" w:eastAsia="宋体" w:cs="宋体"/>
                <w:b/>
                <w:bCs/>
                <w:color w:val="000000"/>
                <w:sz w:val="21"/>
                <w:szCs w:val="21"/>
              </w:rPr>
              <w:t>最终用户</w:t>
            </w:r>
          </w:p>
        </w:tc>
        <w:tc>
          <w:tcPr>
            <w:tcW w:w="973" w:type="pct"/>
          </w:tcPr>
          <w:p w14:paraId="0B9C0166">
            <w:pPr>
              <w:pStyle w:val="5"/>
              <w:widowControl/>
              <w:spacing w:after="156"/>
              <w:jc w:val="left"/>
              <w:rPr>
                <w:rFonts w:ascii="宋体" w:hAnsi="宋体" w:eastAsia="宋体" w:cs="宋体"/>
                <w:b/>
                <w:bCs/>
                <w:color w:val="000000"/>
                <w:sz w:val="21"/>
                <w:szCs w:val="21"/>
              </w:rPr>
            </w:pPr>
            <w:r>
              <w:rPr>
                <w:rFonts w:hint="eastAsia" w:ascii="宋体" w:hAnsi="宋体" w:eastAsia="宋体" w:cs="宋体"/>
                <w:b/>
                <w:bCs/>
                <w:color w:val="000000"/>
                <w:sz w:val="21"/>
                <w:szCs w:val="21"/>
              </w:rPr>
              <w:t>服务类型</w:t>
            </w:r>
          </w:p>
        </w:tc>
        <w:tc>
          <w:tcPr>
            <w:tcW w:w="1361" w:type="pct"/>
          </w:tcPr>
          <w:p w14:paraId="2446CF95">
            <w:pPr>
              <w:pStyle w:val="5"/>
              <w:widowControl/>
              <w:spacing w:after="156"/>
              <w:jc w:val="left"/>
              <w:rPr>
                <w:rFonts w:ascii="宋体" w:hAnsi="宋体" w:eastAsia="宋体" w:cs="宋体"/>
                <w:b/>
                <w:bCs/>
                <w:color w:val="000000"/>
                <w:sz w:val="21"/>
                <w:szCs w:val="21"/>
              </w:rPr>
            </w:pPr>
            <w:r>
              <w:rPr>
                <w:rFonts w:hint="eastAsia" w:ascii="宋体" w:hAnsi="宋体" w:eastAsia="宋体" w:cs="宋体"/>
                <w:b/>
                <w:bCs/>
                <w:color w:val="000000"/>
                <w:sz w:val="21"/>
                <w:szCs w:val="21"/>
              </w:rPr>
              <w:t>服务期限</w:t>
            </w:r>
          </w:p>
        </w:tc>
      </w:tr>
      <w:tr w14:paraId="60B47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 w:type="pct"/>
          </w:tcPr>
          <w:p w14:paraId="279B0AED">
            <w:pPr>
              <w:jc w:val="left"/>
              <w:rPr>
                <w:rFonts w:hint="eastAsia" w:ascii="宋体" w:hAnsi="宋体" w:eastAsia="宋体" w:cs="宋体"/>
                <w:sz w:val="21"/>
                <w:szCs w:val="21"/>
                <w:lang w:eastAsia="zh-CN"/>
              </w:rPr>
            </w:pPr>
            <w:r>
              <w:rPr>
                <w:rFonts w:hint="eastAsia" w:cs="宋体"/>
                <w:sz w:val="21"/>
                <w:szCs w:val="21"/>
                <w:lang w:eastAsia="zh-CN"/>
              </w:rPr>
              <w:t>联影860CT机维保（含AI软件）服务</w:t>
            </w:r>
          </w:p>
        </w:tc>
        <w:tc>
          <w:tcPr>
            <w:tcW w:w="615" w:type="pct"/>
          </w:tcPr>
          <w:p w14:paraId="17805355">
            <w:pPr>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uCT860</w:t>
            </w:r>
          </w:p>
        </w:tc>
        <w:tc>
          <w:tcPr>
            <w:tcW w:w="1240" w:type="pct"/>
          </w:tcPr>
          <w:p w14:paraId="31098F57">
            <w:pPr>
              <w:jc w:val="left"/>
              <w:rPr>
                <w:rFonts w:ascii="宋体" w:hAnsi="宋体" w:eastAsia="宋体" w:cs="宋体"/>
                <w:sz w:val="21"/>
                <w:szCs w:val="21"/>
              </w:rPr>
            </w:pPr>
            <w:r>
              <w:rPr>
                <w:rFonts w:hint="eastAsia" w:ascii="宋体" w:hAnsi="宋体" w:eastAsia="宋体" w:cs="宋体"/>
                <w:sz w:val="21"/>
                <w:szCs w:val="21"/>
              </w:rPr>
              <w:t>西安市阎良区人民医院</w:t>
            </w:r>
          </w:p>
        </w:tc>
        <w:tc>
          <w:tcPr>
            <w:tcW w:w="973" w:type="pct"/>
          </w:tcPr>
          <w:p w14:paraId="705C7C9D">
            <w:pPr>
              <w:jc w:val="left"/>
              <w:rPr>
                <w:rFonts w:hint="default" w:ascii="宋体" w:hAnsi="宋体" w:eastAsia="宋体" w:cs="宋体"/>
                <w:sz w:val="21"/>
                <w:szCs w:val="21"/>
                <w:lang w:val="en-US" w:eastAsia="zh-CN"/>
              </w:rPr>
            </w:pPr>
            <w:r>
              <w:rPr>
                <w:rFonts w:hint="eastAsia" w:cs="宋体"/>
                <w:sz w:val="21"/>
                <w:szCs w:val="21"/>
                <w:lang w:eastAsia="zh-CN"/>
              </w:rPr>
              <w:t>CT机维保（含AI软件）服务</w:t>
            </w:r>
          </w:p>
        </w:tc>
        <w:tc>
          <w:tcPr>
            <w:tcW w:w="1361" w:type="pct"/>
            <w:shd w:val="clear" w:color="auto" w:fill="auto"/>
          </w:tcPr>
          <w:p w14:paraId="6CB7C2AE">
            <w:pPr>
              <w:jc w:val="lef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auto"/>
                <w:sz w:val="21"/>
                <w:szCs w:val="21"/>
                <w:lang w:val="en-US" w:eastAsia="zh-CN"/>
              </w:rPr>
              <w:t>软件配置服务期限</w:t>
            </w:r>
            <w:r>
              <w:rPr>
                <w:rFonts w:hint="eastAsia" w:asciiTheme="majorEastAsia" w:hAnsiTheme="majorEastAsia" w:eastAsiaTheme="majorEastAsia" w:cstheme="majorEastAsia"/>
                <w:color w:val="auto"/>
                <w:sz w:val="21"/>
                <w:szCs w:val="21"/>
                <w:u w:val="single"/>
                <w:lang w:val="en-US" w:eastAsia="zh-CN"/>
              </w:rPr>
              <w:t xml:space="preserve">  </w:t>
            </w:r>
            <w:r>
              <w:rPr>
                <w:rFonts w:hint="eastAsia" w:asciiTheme="majorEastAsia" w:hAnsiTheme="majorEastAsia" w:eastAsiaTheme="majorEastAsia" w:cstheme="majorEastAsia"/>
                <w:color w:val="auto"/>
                <w:sz w:val="21"/>
                <w:szCs w:val="21"/>
                <w:lang w:val="en-US" w:eastAsia="zh-CN"/>
              </w:rPr>
              <w:t>天</w:t>
            </w:r>
          </w:p>
        </w:tc>
      </w:tr>
      <w:tr w14:paraId="75576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Pr>
          <w:p w14:paraId="067FF144">
            <w:pPr>
              <w:jc w:val="both"/>
              <w:rPr>
                <w:rFonts w:ascii="宋体" w:hAnsi="宋体" w:eastAsia="宋体" w:cs="宋体"/>
                <w:sz w:val="21"/>
                <w:szCs w:val="21"/>
              </w:rPr>
            </w:pPr>
            <w:r>
              <w:rPr>
                <w:rFonts w:hint="eastAsia" w:ascii="宋体" w:hAnsi="宋体" w:eastAsia="宋体" w:cs="宋体"/>
                <w:b/>
                <w:bCs/>
                <w:sz w:val="21"/>
                <w:szCs w:val="21"/>
              </w:rPr>
              <w:t>服务费用总价：人民币</w:t>
            </w:r>
            <w:r>
              <w:rPr>
                <w:rFonts w:hint="eastAsia" w:ascii="宋体" w:hAnsi="宋体" w:eastAsia="宋体" w:cs="宋体"/>
                <w:b/>
                <w:bCs/>
                <w:sz w:val="21"/>
                <w:szCs w:val="21"/>
                <w:highlight w:val="none"/>
                <w:u w:val="single"/>
                <w:lang w:val="en-US" w:eastAsia="zh-CN"/>
              </w:rPr>
              <w:t xml:space="preserve">     </w:t>
            </w:r>
            <w:r>
              <w:rPr>
                <w:rFonts w:ascii="宋体" w:hAnsi="宋体" w:eastAsia="宋体" w:cs="宋体"/>
                <w:b/>
                <w:sz w:val="21"/>
                <w:szCs w:val="21"/>
              </w:rPr>
              <w:t>元（大写:</w:t>
            </w:r>
            <w:r>
              <w:rPr>
                <w:rFonts w:hint="eastAsia" w:ascii="宋体" w:hAnsi="宋体" w:eastAsia="宋体" w:cs="宋体"/>
                <w:b/>
                <w:sz w:val="21"/>
                <w:szCs w:val="21"/>
                <w:u w:val="single"/>
                <w:lang w:val="en-US" w:eastAsia="zh-CN"/>
              </w:rPr>
              <w:t xml:space="preserve">     </w:t>
            </w:r>
            <w:r>
              <w:rPr>
                <w:rFonts w:ascii="宋体" w:hAnsi="宋体" w:eastAsia="宋体" w:cs="宋体"/>
                <w:b/>
                <w:sz w:val="21"/>
                <w:szCs w:val="21"/>
              </w:rPr>
              <w:t>）</w:t>
            </w:r>
          </w:p>
        </w:tc>
      </w:tr>
    </w:tbl>
    <w:p w14:paraId="5196B05C">
      <w:pPr>
        <w:numPr>
          <w:ilvl w:val="0"/>
          <w:numId w:val="0"/>
        </w:numPr>
        <w:spacing w:line="360" w:lineRule="auto"/>
        <w:rPr>
          <w:rFonts w:ascii="宋体" w:hAnsi="宋体" w:eastAsia="宋体" w:cs="宋体"/>
          <w:b/>
          <w:bCs/>
          <w:sz w:val="21"/>
          <w:szCs w:val="21"/>
        </w:rPr>
      </w:pPr>
      <w:r>
        <w:rPr>
          <w:rFonts w:ascii="宋体" w:hAnsi="宋体" w:eastAsia="宋体" w:cs="宋体"/>
          <w:b/>
          <w:bCs/>
          <w:sz w:val="21"/>
          <w:szCs w:val="21"/>
          <w:lang w:val="en-US" w:eastAsia="en-US" w:bidi="ar-SA"/>
        </w:rPr>
        <w:t>2.</w:t>
      </w:r>
      <w:r>
        <w:rPr>
          <w:rFonts w:hint="eastAsia" w:ascii="宋体" w:hAnsi="宋体" w:eastAsia="宋体" w:cs="宋体"/>
          <w:b/>
          <w:bCs/>
          <w:sz w:val="21"/>
          <w:szCs w:val="21"/>
        </w:rPr>
        <w:t>维保服务内容</w:t>
      </w:r>
    </w:p>
    <w:p w14:paraId="1CF8AD1D">
      <w:pPr>
        <w:spacing w:line="360" w:lineRule="auto"/>
        <w:rPr>
          <w:sz w:val="21"/>
          <w:szCs w:val="21"/>
        </w:rPr>
      </w:pPr>
      <w:r>
        <w:rPr>
          <w:rFonts w:hint="eastAsia"/>
          <w:sz w:val="21"/>
          <w:szCs w:val="21"/>
        </w:rPr>
        <w:t>2.1在甲方按约定支付每期维保服务费的前提下，乙方承诺在维保服务期内提供下列服务：</w:t>
      </w:r>
    </w:p>
    <w:tbl>
      <w:tblPr>
        <w:tblStyle w:val="6"/>
        <w:tblpPr w:leftFromText="180" w:rightFromText="180" w:vertAnchor="text" w:horzAnchor="page" w:tblpXSpec="center" w:tblpY="698"/>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2122"/>
        <w:gridCol w:w="5524"/>
      </w:tblGrid>
      <w:tr w14:paraId="795D8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512" w:type="pct"/>
            <w:noWrap w:val="0"/>
            <w:vAlign w:val="center"/>
          </w:tcPr>
          <w:p w14:paraId="59696F34">
            <w:pPr>
              <w:rPr>
                <w:sz w:val="21"/>
                <w:szCs w:val="21"/>
              </w:rPr>
            </w:pPr>
            <w:r>
              <w:rPr>
                <w:sz w:val="21"/>
                <w:szCs w:val="21"/>
              </w:rPr>
              <w:t>序号</w:t>
            </w:r>
          </w:p>
        </w:tc>
        <w:tc>
          <w:tcPr>
            <w:tcW w:w="1245" w:type="pct"/>
            <w:noWrap w:val="0"/>
            <w:vAlign w:val="center"/>
          </w:tcPr>
          <w:p w14:paraId="1A36AAA7">
            <w:pPr>
              <w:rPr>
                <w:sz w:val="21"/>
                <w:szCs w:val="21"/>
              </w:rPr>
            </w:pPr>
            <w:r>
              <w:rPr>
                <w:rFonts w:hint="eastAsia"/>
                <w:sz w:val="21"/>
                <w:szCs w:val="21"/>
                <w:lang w:val="en-US" w:eastAsia="zh-CN"/>
              </w:rPr>
              <w:t>维保</w:t>
            </w:r>
            <w:r>
              <w:rPr>
                <w:sz w:val="21"/>
                <w:szCs w:val="21"/>
              </w:rPr>
              <w:t>/</w:t>
            </w:r>
            <w:r>
              <w:rPr>
                <w:rFonts w:hint="eastAsia"/>
                <w:sz w:val="21"/>
                <w:szCs w:val="21"/>
                <w:lang w:val="en-US" w:eastAsia="zh-CN"/>
              </w:rPr>
              <w:t>软件</w:t>
            </w:r>
            <w:r>
              <w:rPr>
                <w:sz w:val="21"/>
                <w:szCs w:val="21"/>
              </w:rPr>
              <w:t>性能</w:t>
            </w:r>
          </w:p>
        </w:tc>
        <w:tc>
          <w:tcPr>
            <w:tcW w:w="3241" w:type="pct"/>
            <w:noWrap w:val="0"/>
            <w:vAlign w:val="center"/>
          </w:tcPr>
          <w:p w14:paraId="32846F46">
            <w:pPr>
              <w:rPr>
                <w:sz w:val="21"/>
                <w:szCs w:val="21"/>
              </w:rPr>
            </w:pPr>
            <w:r>
              <w:rPr>
                <w:sz w:val="21"/>
                <w:szCs w:val="21"/>
              </w:rPr>
              <w:t>具体要求</w:t>
            </w:r>
          </w:p>
        </w:tc>
      </w:tr>
      <w:tr w14:paraId="29657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1C8561F">
            <w:pPr>
              <w:rPr>
                <w:sz w:val="21"/>
                <w:szCs w:val="21"/>
              </w:rPr>
            </w:pPr>
            <w:r>
              <w:rPr>
                <w:sz w:val="21"/>
                <w:szCs w:val="21"/>
              </w:rPr>
              <w:t>1</w:t>
            </w:r>
          </w:p>
        </w:tc>
        <w:tc>
          <w:tcPr>
            <w:tcW w:w="1245" w:type="pct"/>
            <w:noWrap w:val="0"/>
            <w:vAlign w:val="center"/>
          </w:tcPr>
          <w:p w14:paraId="73CCC63F">
            <w:pPr>
              <w:rPr>
                <w:rFonts w:hint="eastAsia"/>
                <w:sz w:val="21"/>
                <w:szCs w:val="21"/>
              </w:rPr>
            </w:pPr>
            <w:r>
              <w:rPr>
                <w:sz w:val="21"/>
                <w:szCs w:val="21"/>
              </w:rPr>
              <w:t>CT</w:t>
            </w:r>
            <w:r>
              <w:rPr>
                <w:rFonts w:hint="eastAsia"/>
                <w:sz w:val="21"/>
                <w:szCs w:val="21"/>
              </w:rPr>
              <w:t>860有限保</w:t>
            </w:r>
          </w:p>
        </w:tc>
        <w:tc>
          <w:tcPr>
            <w:tcW w:w="3241" w:type="pct"/>
            <w:noWrap w:val="0"/>
            <w:vAlign w:val="center"/>
          </w:tcPr>
          <w:p w14:paraId="07AEFB4F">
            <w:pPr>
              <w:rPr>
                <w:rFonts w:hint="default"/>
                <w:sz w:val="21"/>
                <w:szCs w:val="21"/>
                <w:lang w:val="en-US" w:eastAsia="zh-CN"/>
              </w:rPr>
            </w:pPr>
            <w:r>
              <w:rPr>
                <w:rFonts w:hint="eastAsia"/>
                <w:sz w:val="21"/>
                <w:szCs w:val="21"/>
              </w:rPr>
              <w:t>1</w:t>
            </w:r>
            <w:r>
              <w:rPr>
                <w:rFonts w:hint="eastAsia"/>
                <w:sz w:val="21"/>
                <w:szCs w:val="21"/>
                <w:lang w:val="en-US" w:eastAsia="zh-CN"/>
              </w:rPr>
              <w:t>.提供后台数据查询功能（如随时查询球管秒次、人次），随时了解设备后台运行情况</w:t>
            </w:r>
          </w:p>
          <w:p w14:paraId="4D6417EB">
            <w:pPr>
              <w:rPr>
                <w:sz w:val="21"/>
                <w:szCs w:val="21"/>
              </w:rPr>
            </w:pPr>
            <w:r>
              <w:rPr>
                <w:sz w:val="21"/>
                <w:szCs w:val="21"/>
              </w:rPr>
              <w:t>2</w:t>
            </w:r>
            <w:r>
              <w:rPr>
                <w:rFonts w:hint="eastAsia"/>
                <w:sz w:val="21"/>
                <w:szCs w:val="21"/>
                <w:lang w:val="en-US" w:eastAsia="zh-CN"/>
              </w:rPr>
              <w:t>.</w:t>
            </w:r>
            <w:r>
              <w:rPr>
                <w:sz w:val="21"/>
                <w:szCs w:val="21"/>
              </w:rPr>
              <w:t>整机质保（</w:t>
            </w:r>
            <w:r>
              <w:rPr>
                <w:rFonts w:hint="eastAsia"/>
                <w:sz w:val="21"/>
                <w:szCs w:val="21"/>
                <w:lang w:val="en-US" w:eastAsia="zh-CN"/>
              </w:rPr>
              <w:t>联影厂家提供的所有设备、设施；</w:t>
            </w:r>
            <w:r>
              <w:rPr>
                <w:sz w:val="21"/>
                <w:szCs w:val="21"/>
              </w:rPr>
              <w:t>球管，高压发生器，探测器模块</w:t>
            </w:r>
            <w:r>
              <w:rPr>
                <w:rFonts w:hint="eastAsia"/>
                <w:sz w:val="21"/>
                <w:szCs w:val="21"/>
                <w:lang w:val="en-US" w:eastAsia="zh-CN"/>
              </w:rPr>
              <w:t>除外</w:t>
            </w:r>
            <w:r>
              <w:rPr>
                <w:sz w:val="21"/>
                <w:szCs w:val="21"/>
              </w:rPr>
              <w:t>）不包含三方产品</w:t>
            </w:r>
          </w:p>
          <w:p w14:paraId="4AEB5E2B">
            <w:pPr>
              <w:rPr>
                <w:sz w:val="21"/>
                <w:szCs w:val="21"/>
              </w:rPr>
            </w:pPr>
            <w:r>
              <w:rPr>
                <w:sz w:val="21"/>
                <w:szCs w:val="21"/>
              </w:rPr>
              <w:t>3</w:t>
            </w:r>
            <w:r>
              <w:rPr>
                <w:rFonts w:hint="eastAsia"/>
                <w:sz w:val="21"/>
                <w:szCs w:val="21"/>
                <w:lang w:val="en-US" w:eastAsia="zh-CN"/>
              </w:rPr>
              <w:t>.</w:t>
            </w:r>
            <w:r>
              <w:rPr>
                <w:sz w:val="21"/>
                <w:szCs w:val="21"/>
              </w:rPr>
              <w:t>在线支持：24小时*365天的热线服务。拨打维修热线后安排资深工程师在线技术支持、答疑，即时诊断机器故障，制定维修方案</w:t>
            </w:r>
          </w:p>
          <w:p w14:paraId="182B8B92">
            <w:pPr>
              <w:rPr>
                <w:sz w:val="21"/>
                <w:szCs w:val="21"/>
              </w:rPr>
            </w:pPr>
            <w:r>
              <w:rPr>
                <w:sz w:val="21"/>
                <w:szCs w:val="21"/>
              </w:rPr>
              <w:t>4</w:t>
            </w:r>
            <w:r>
              <w:rPr>
                <w:rFonts w:hint="eastAsia"/>
                <w:sz w:val="21"/>
                <w:szCs w:val="21"/>
                <w:lang w:val="en-US" w:eastAsia="zh-CN"/>
              </w:rPr>
              <w:t>.</w:t>
            </w:r>
            <w:r>
              <w:rPr>
                <w:sz w:val="21"/>
                <w:szCs w:val="21"/>
              </w:rPr>
              <w:t>现场检修：接到报修后12小时内派遣原厂认证合格的专业工程师到现场维修设备</w:t>
            </w:r>
            <w:r>
              <w:rPr>
                <w:rFonts w:hint="eastAsia"/>
                <w:sz w:val="21"/>
                <w:szCs w:val="21"/>
                <w:lang w:eastAsia="zh-CN"/>
              </w:rPr>
              <w:t>。</w:t>
            </w:r>
          </w:p>
          <w:p w14:paraId="7C609E22">
            <w:pPr>
              <w:rPr>
                <w:sz w:val="21"/>
                <w:szCs w:val="21"/>
              </w:rPr>
            </w:pPr>
            <w:r>
              <w:rPr>
                <w:sz w:val="21"/>
                <w:szCs w:val="21"/>
              </w:rPr>
              <w:t>5</w:t>
            </w:r>
            <w:r>
              <w:rPr>
                <w:rFonts w:hint="eastAsia"/>
                <w:sz w:val="21"/>
                <w:szCs w:val="21"/>
                <w:lang w:val="en-US" w:eastAsia="zh-CN"/>
              </w:rPr>
              <w:t>.</w:t>
            </w:r>
            <w:r>
              <w:rPr>
                <w:sz w:val="21"/>
                <w:szCs w:val="21"/>
              </w:rPr>
              <w:t>配件更换：提供维修</w:t>
            </w:r>
            <w:r>
              <w:rPr>
                <w:rFonts w:hint="eastAsia"/>
                <w:sz w:val="21"/>
                <w:szCs w:val="21"/>
                <w:lang w:val="en-US" w:eastAsia="zh-CN"/>
              </w:rPr>
              <w:t>及</w:t>
            </w:r>
            <w:r>
              <w:rPr>
                <w:rFonts w:hint="eastAsia"/>
                <w:sz w:val="21"/>
                <w:szCs w:val="21"/>
              </w:rPr>
              <w:t>更换的零部件必须为全新原装原厂未拆封</w:t>
            </w:r>
            <w:r>
              <w:rPr>
                <w:sz w:val="21"/>
                <w:szCs w:val="21"/>
              </w:rPr>
              <w:t>配件。承担相应的人工费、运输费、交通费、安装调试费用等</w:t>
            </w:r>
          </w:p>
          <w:p w14:paraId="4B4D2089">
            <w:pPr>
              <w:rPr>
                <w:sz w:val="21"/>
                <w:szCs w:val="21"/>
              </w:rPr>
            </w:pPr>
            <w:r>
              <w:rPr>
                <w:sz w:val="21"/>
                <w:szCs w:val="21"/>
              </w:rPr>
              <w:t>6</w:t>
            </w:r>
            <w:r>
              <w:rPr>
                <w:rFonts w:hint="eastAsia"/>
                <w:sz w:val="21"/>
                <w:szCs w:val="21"/>
                <w:lang w:val="en-US" w:eastAsia="zh-CN"/>
              </w:rPr>
              <w:t>.</w:t>
            </w:r>
            <w:r>
              <w:rPr>
                <w:sz w:val="21"/>
                <w:szCs w:val="21"/>
              </w:rPr>
              <w:t>工作站：提供工作站的保修（license的更新以及软件病毒防护）</w:t>
            </w:r>
          </w:p>
          <w:p w14:paraId="570775DB">
            <w:pPr>
              <w:rPr>
                <w:sz w:val="21"/>
                <w:szCs w:val="21"/>
              </w:rPr>
            </w:pPr>
            <w:r>
              <w:rPr>
                <w:sz w:val="21"/>
                <w:szCs w:val="21"/>
              </w:rPr>
              <w:t>7</w:t>
            </w:r>
            <w:r>
              <w:rPr>
                <w:rFonts w:hint="eastAsia"/>
                <w:sz w:val="21"/>
                <w:szCs w:val="21"/>
                <w:lang w:val="en-US" w:eastAsia="zh-CN"/>
              </w:rPr>
              <w:t>.</w:t>
            </w:r>
            <w:r>
              <w:rPr>
                <w:sz w:val="21"/>
                <w:szCs w:val="21"/>
              </w:rPr>
              <w:t>定期维护：根据设备的运行状况，提供每年两次的定期预防性维护，</w:t>
            </w:r>
            <w:r>
              <w:rPr>
                <w:rFonts w:hint="eastAsia"/>
                <w:sz w:val="21"/>
                <w:szCs w:val="21"/>
                <w:lang w:val="en-US" w:eastAsia="zh-CN"/>
              </w:rPr>
              <w:t>无限次人工，</w:t>
            </w:r>
            <w:r>
              <w:rPr>
                <w:sz w:val="21"/>
                <w:szCs w:val="21"/>
              </w:rPr>
              <w:t>提供优质保养耗材，并定期清理设备过滤网。维护范围包括：安全性、图像质量、系统性能方面的检测、调试及校准，电气环境监测、必要的机械检查和设备清洁等，并定期对设备的数据进行备份，确保系统能按照正常的产品规格运行的标准来维修。</w:t>
            </w:r>
          </w:p>
          <w:p w14:paraId="41FA86ED">
            <w:pPr>
              <w:rPr>
                <w:sz w:val="21"/>
                <w:szCs w:val="21"/>
              </w:rPr>
            </w:pPr>
            <w:r>
              <w:rPr>
                <w:sz w:val="21"/>
                <w:szCs w:val="21"/>
              </w:rPr>
              <w:t>8</w:t>
            </w:r>
            <w:r>
              <w:rPr>
                <w:rFonts w:hint="eastAsia"/>
                <w:sz w:val="21"/>
                <w:szCs w:val="21"/>
                <w:lang w:val="en-US" w:eastAsia="zh-CN"/>
              </w:rPr>
              <w:t>.</w:t>
            </w:r>
            <w:r>
              <w:rPr>
                <w:sz w:val="21"/>
                <w:szCs w:val="21"/>
              </w:rPr>
              <w:t>根据客户需求，工程师可到达现场，配合相关质检部门和医院的检测达标工作</w:t>
            </w:r>
          </w:p>
          <w:p w14:paraId="25687EC8">
            <w:pPr>
              <w:rPr>
                <w:rFonts w:hint="default"/>
                <w:sz w:val="21"/>
                <w:szCs w:val="21"/>
                <w:lang w:val="en-US" w:eastAsia="zh-CN"/>
              </w:rPr>
            </w:pPr>
            <w:r>
              <w:rPr>
                <w:sz w:val="21"/>
                <w:szCs w:val="21"/>
              </w:rPr>
              <w:t>9</w:t>
            </w:r>
            <w:r>
              <w:rPr>
                <w:rFonts w:hint="eastAsia"/>
                <w:sz w:val="21"/>
                <w:szCs w:val="21"/>
                <w:lang w:val="en-US" w:eastAsia="zh-CN"/>
              </w:rPr>
              <w:t>.</w:t>
            </w:r>
            <w:r>
              <w:rPr>
                <w:sz w:val="21"/>
                <w:szCs w:val="21"/>
              </w:rPr>
              <w:t>开机率保证：保证开机率不低于95%（按365天计算</w:t>
            </w:r>
            <w:r>
              <w:rPr>
                <w:rFonts w:hint="eastAsia"/>
                <w:sz w:val="21"/>
                <w:szCs w:val="21"/>
                <w:lang w:eastAsia="zh-CN"/>
              </w:rPr>
              <w:t>，</w:t>
            </w:r>
            <w:r>
              <w:rPr>
                <w:rFonts w:hint="eastAsia"/>
                <w:sz w:val="21"/>
                <w:szCs w:val="21"/>
                <w:lang w:val="en-US" w:eastAsia="zh-CN"/>
              </w:rPr>
              <w:t>维护时间不能过长，保证开机率</w:t>
            </w:r>
            <w:r>
              <w:rPr>
                <w:sz w:val="21"/>
                <w:szCs w:val="21"/>
              </w:rPr>
              <w:t>）</w:t>
            </w:r>
            <w:r>
              <w:rPr>
                <w:rFonts w:hint="eastAsia"/>
                <w:sz w:val="21"/>
                <w:szCs w:val="21"/>
                <w:lang w:eastAsia="zh-CN"/>
              </w:rPr>
              <w:t>；</w:t>
            </w:r>
            <w:r>
              <w:rPr>
                <w:rFonts w:hint="eastAsia"/>
                <w:sz w:val="21"/>
                <w:szCs w:val="21"/>
              </w:rPr>
              <w:t>由于维保维修不及时，造成的故障扩大或其它设备设施损坏，以及采购人经营损失，均由维保方负责。</w:t>
            </w:r>
            <w:r>
              <w:rPr>
                <w:rFonts w:hint="eastAsia"/>
                <w:sz w:val="21"/>
                <w:szCs w:val="21"/>
                <w:lang w:val="en-US" w:eastAsia="zh-CN"/>
              </w:rPr>
              <w:t>如果超过72小时不能修复，耽误一天维保期延长5天。</w:t>
            </w:r>
          </w:p>
          <w:p w14:paraId="28F3BC62">
            <w:pPr>
              <w:rPr>
                <w:rFonts w:hint="eastAsia"/>
                <w:sz w:val="21"/>
                <w:szCs w:val="21"/>
              </w:rPr>
            </w:pPr>
            <w:r>
              <w:rPr>
                <w:rFonts w:hint="eastAsia"/>
                <w:sz w:val="21"/>
                <w:szCs w:val="21"/>
                <w:lang w:val="en-US" w:eastAsia="zh-CN"/>
              </w:rPr>
              <w:t>10.</w:t>
            </w:r>
            <w:r>
              <w:rPr>
                <w:rFonts w:hint="eastAsia"/>
                <w:sz w:val="21"/>
                <w:szCs w:val="21"/>
              </w:rPr>
              <w:t>该设备维护及维修期间，必须按照行业安全规范做好维保过程中安全防范工作，维保前制定详细的施工安全措施并在维保工作中严格落实，以确保维保工作安全和第三者安全，如发生伤、残、亡等一切安全事故及纠纷，由维保方全部负责，采购人不承担任何经济损失和法律责任。</w:t>
            </w:r>
          </w:p>
          <w:p w14:paraId="40411726">
            <w:pPr>
              <w:rPr>
                <w:rFonts w:hint="eastAsia"/>
                <w:sz w:val="21"/>
                <w:szCs w:val="21"/>
              </w:rPr>
            </w:pPr>
            <w:r>
              <w:rPr>
                <w:rFonts w:hint="eastAsia"/>
                <w:sz w:val="21"/>
                <w:szCs w:val="21"/>
                <w:lang w:val="en-US" w:eastAsia="zh-CN"/>
              </w:rPr>
              <w:t>11.</w:t>
            </w:r>
            <w:r>
              <w:rPr>
                <w:rFonts w:hint="eastAsia"/>
                <w:sz w:val="21"/>
                <w:szCs w:val="21"/>
              </w:rPr>
              <w:t>质保期间按厂家说明书要求提供维护保养，维保期结束时需提供本项目所有服务期内的保养、维护、维修资料，若未按时提供视为维保期未结束，维保期延期至提供完整资料时为止，延期期间所产生的维保费用由成交方负责。</w:t>
            </w:r>
          </w:p>
          <w:p w14:paraId="56F50B1D">
            <w:pPr>
              <w:rPr>
                <w:rFonts w:hint="eastAsia"/>
                <w:sz w:val="21"/>
                <w:szCs w:val="21"/>
                <w:lang w:eastAsia="zh-CN"/>
              </w:rPr>
            </w:pPr>
            <w:r>
              <w:rPr>
                <w:sz w:val="21"/>
                <w:szCs w:val="21"/>
              </w:rPr>
              <w:t>1</w:t>
            </w:r>
            <w:r>
              <w:rPr>
                <w:rFonts w:hint="eastAsia"/>
                <w:sz w:val="21"/>
                <w:szCs w:val="21"/>
                <w:lang w:val="en-US" w:eastAsia="zh-CN"/>
              </w:rPr>
              <w:t>2.</w:t>
            </w:r>
            <w:r>
              <w:rPr>
                <w:sz w:val="21"/>
                <w:szCs w:val="21"/>
              </w:rPr>
              <w:t>及时获取并实施原厂系统安全性软硬件改版通知，保修期内免费提供设备（含独立工作站）的系统软件升级补丁和技术支持，保证所有系统软件为最新版本</w:t>
            </w:r>
            <w:r>
              <w:rPr>
                <w:rFonts w:hint="eastAsia"/>
                <w:sz w:val="21"/>
                <w:szCs w:val="21"/>
                <w:lang w:eastAsia="zh-CN"/>
              </w:rPr>
              <w:t>。</w:t>
            </w:r>
          </w:p>
          <w:p w14:paraId="17F513A9">
            <w:pPr>
              <w:rPr>
                <w:rFonts w:hint="default"/>
                <w:sz w:val="21"/>
                <w:szCs w:val="21"/>
                <w:lang w:val="en-US" w:eastAsia="zh-CN"/>
              </w:rPr>
            </w:pPr>
            <w:r>
              <w:rPr>
                <w:rFonts w:hint="eastAsia"/>
                <w:sz w:val="21"/>
                <w:szCs w:val="21"/>
                <w:lang w:val="en-US" w:eastAsia="zh-CN"/>
              </w:rPr>
              <w:t>13.合同期限：合同最长期限3年，一年一签，依据设备状况，确定下一年度合同情况。</w:t>
            </w:r>
          </w:p>
        </w:tc>
      </w:tr>
      <w:tr w14:paraId="6B26E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803E343">
            <w:pPr>
              <w:rPr>
                <w:rFonts w:hint="eastAsia"/>
                <w:sz w:val="21"/>
                <w:szCs w:val="21"/>
                <w:lang w:val="en-US" w:eastAsia="zh-CN"/>
              </w:rPr>
            </w:pPr>
            <w:r>
              <w:rPr>
                <w:rFonts w:hint="eastAsia"/>
                <w:sz w:val="21"/>
                <w:szCs w:val="21"/>
                <w:lang w:val="en-US" w:eastAsia="zh-CN"/>
              </w:rPr>
              <w:t>2</w:t>
            </w:r>
          </w:p>
        </w:tc>
        <w:tc>
          <w:tcPr>
            <w:tcW w:w="1245" w:type="pct"/>
            <w:noWrap w:val="0"/>
            <w:vAlign w:val="center"/>
          </w:tcPr>
          <w:p w14:paraId="0C75739D">
            <w:pPr>
              <w:rPr>
                <w:sz w:val="21"/>
                <w:szCs w:val="21"/>
              </w:rPr>
            </w:pPr>
            <w:r>
              <w:rPr>
                <w:rFonts w:hint="eastAsia"/>
                <w:sz w:val="21"/>
                <w:szCs w:val="21"/>
              </w:rPr>
              <w:t>肺结节</w:t>
            </w:r>
            <w:r>
              <w:rPr>
                <w:sz w:val="21"/>
                <w:szCs w:val="21"/>
              </w:rPr>
              <w:t>医疗器械注册证</w:t>
            </w:r>
          </w:p>
        </w:tc>
        <w:tc>
          <w:tcPr>
            <w:tcW w:w="3241" w:type="pct"/>
            <w:noWrap w:val="0"/>
            <w:vAlign w:val="center"/>
          </w:tcPr>
          <w:p w14:paraId="562B69EB">
            <w:pPr>
              <w:rPr>
                <w:sz w:val="21"/>
                <w:szCs w:val="21"/>
              </w:rPr>
            </w:pPr>
            <w:r>
              <w:rPr>
                <w:sz w:val="21"/>
                <w:szCs w:val="21"/>
              </w:rPr>
              <w:t>具备第三类管理类别中华人民共和国医疗器械注册证，需提供证书复印件</w:t>
            </w:r>
          </w:p>
        </w:tc>
      </w:tr>
      <w:tr w14:paraId="33C55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3A44BFED">
            <w:pPr>
              <w:rPr>
                <w:rFonts w:hint="default"/>
                <w:sz w:val="21"/>
                <w:szCs w:val="21"/>
                <w:lang w:val="en-US" w:eastAsia="zh-CN"/>
              </w:rPr>
            </w:pPr>
            <w:r>
              <w:rPr>
                <w:sz w:val="21"/>
                <w:szCs w:val="21"/>
              </w:rPr>
              <w:t>2</w:t>
            </w:r>
            <w:r>
              <w:rPr>
                <w:rFonts w:hint="eastAsia"/>
                <w:sz w:val="21"/>
                <w:szCs w:val="21"/>
                <w:lang w:val="en-US" w:eastAsia="zh-CN"/>
              </w:rPr>
              <w:t>.1</w:t>
            </w:r>
          </w:p>
        </w:tc>
        <w:tc>
          <w:tcPr>
            <w:tcW w:w="1245" w:type="pct"/>
            <w:noWrap w:val="0"/>
            <w:vAlign w:val="center"/>
          </w:tcPr>
          <w:p w14:paraId="1CD6AFF3">
            <w:pPr>
              <w:rPr>
                <w:sz w:val="21"/>
                <w:szCs w:val="21"/>
              </w:rPr>
            </w:pPr>
            <w:r>
              <w:rPr>
                <w:sz w:val="21"/>
                <w:szCs w:val="21"/>
              </w:rPr>
              <w:t>良恶性预测</w:t>
            </w:r>
          </w:p>
        </w:tc>
        <w:tc>
          <w:tcPr>
            <w:tcW w:w="3241" w:type="pct"/>
            <w:noWrap w:val="0"/>
            <w:vAlign w:val="center"/>
          </w:tcPr>
          <w:p w14:paraId="11DD3FA3">
            <w:pPr>
              <w:rPr>
                <w:sz w:val="21"/>
                <w:szCs w:val="21"/>
              </w:rPr>
            </w:pPr>
            <w:r>
              <w:rPr>
                <w:sz w:val="21"/>
                <w:szCs w:val="21"/>
              </w:rPr>
              <w:t>提供结节良恶性预测结果，并对概率值高的结节重点提示</w:t>
            </w:r>
          </w:p>
        </w:tc>
      </w:tr>
      <w:tr w14:paraId="53D6A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6D251FAF">
            <w:pPr>
              <w:rPr>
                <w:rFonts w:hint="default"/>
                <w:sz w:val="21"/>
                <w:szCs w:val="21"/>
                <w:lang w:val="en-US" w:eastAsia="zh-CN"/>
              </w:rPr>
            </w:pPr>
            <w:r>
              <w:rPr>
                <w:rFonts w:hint="eastAsia"/>
                <w:sz w:val="21"/>
                <w:szCs w:val="21"/>
                <w:lang w:val="en-US" w:eastAsia="zh-CN"/>
              </w:rPr>
              <w:t>2.2</w:t>
            </w:r>
          </w:p>
        </w:tc>
        <w:tc>
          <w:tcPr>
            <w:tcW w:w="1245" w:type="pct"/>
            <w:noWrap w:val="0"/>
            <w:vAlign w:val="center"/>
          </w:tcPr>
          <w:p w14:paraId="74EB155B">
            <w:pPr>
              <w:rPr>
                <w:sz w:val="21"/>
                <w:szCs w:val="21"/>
              </w:rPr>
            </w:pPr>
            <w:r>
              <w:rPr>
                <w:sz w:val="21"/>
                <w:szCs w:val="21"/>
              </w:rPr>
              <w:t>良恶性预测准确率</w:t>
            </w:r>
          </w:p>
        </w:tc>
        <w:tc>
          <w:tcPr>
            <w:tcW w:w="3241" w:type="pct"/>
            <w:noWrap w:val="0"/>
            <w:vAlign w:val="center"/>
          </w:tcPr>
          <w:p w14:paraId="549F3CB0">
            <w:pPr>
              <w:rPr>
                <w:sz w:val="21"/>
                <w:szCs w:val="21"/>
              </w:rPr>
            </w:pPr>
            <w:r>
              <w:rPr>
                <w:sz w:val="21"/>
                <w:szCs w:val="21"/>
              </w:rPr>
              <w:t>肺结节良恶性预测准确率不低于90%，需提供第三方机构测试或文献证明</w:t>
            </w:r>
          </w:p>
        </w:tc>
      </w:tr>
      <w:tr w14:paraId="3B1E7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A3DD5E0">
            <w:pPr>
              <w:rPr>
                <w:rFonts w:hint="default"/>
                <w:sz w:val="21"/>
                <w:szCs w:val="21"/>
                <w:lang w:val="en-US" w:eastAsia="zh-CN"/>
              </w:rPr>
            </w:pPr>
            <w:r>
              <w:rPr>
                <w:rFonts w:hint="eastAsia"/>
                <w:sz w:val="21"/>
                <w:szCs w:val="21"/>
                <w:lang w:val="en-US" w:eastAsia="zh-CN"/>
              </w:rPr>
              <w:t>2.3</w:t>
            </w:r>
          </w:p>
        </w:tc>
        <w:tc>
          <w:tcPr>
            <w:tcW w:w="1245" w:type="pct"/>
            <w:noWrap w:val="0"/>
            <w:vAlign w:val="center"/>
          </w:tcPr>
          <w:p w14:paraId="3EC974F9">
            <w:pPr>
              <w:rPr>
                <w:sz w:val="21"/>
                <w:szCs w:val="21"/>
              </w:rPr>
            </w:pPr>
            <w:r>
              <w:rPr>
                <w:sz w:val="21"/>
                <w:szCs w:val="21"/>
              </w:rPr>
              <w:t>良恶性预测AUC曲线性能</w:t>
            </w:r>
          </w:p>
        </w:tc>
        <w:tc>
          <w:tcPr>
            <w:tcW w:w="3241" w:type="pct"/>
            <w:noWrap w:val="0"/>
            <w:vAlign w:val="center"/>
          </w:tcPr>
          <w:p w14:paraId="336AEE53">
            <w:pPr>
              <w:rPr>
                <w:sz w:val="21"/>
                <w:szCs w:val="21"/>
              </w:rPr>
            </w:pPr>
            <w:r>
              <w:rPr>
                <w:sz w:val="21"/>
                <w:szCs w:val="21"/>
              </w:rPr>
              <w:t>肺结节良恶性预测AUC曲线下面积不低于95%，需提供第三方机构测试或文献证明</w:t>
            </w:r>
          </w:p>
        </w:tc>
      </w:tr>
      <w:tr w14:paraId="32C28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0D316A97">
            <w:pPr>
              <w:rPr>
                <w:rFonts w:hint="default"/>
                <w:sz w:val="21"/>
                <w:szCs w:val="21"/>
                <w:lang w:val="en-US" w:eastAsia="zh-CN"/>
              </w:rPr>
            </w:pPr>
            <w:r>
              <w:rPr>
                <w:rFonts w:hint="eastAsia"/>
                <w:sz w:val="21"/>
                <w:szCs w:val="21"/>
                <w:lang w:val="en-US" w:eastAsia="zh-CN"/>
              </w:rPr>
              <w:t>2.4</w:t>
            </w:r>
          </w:p>
        </w:tc>
        <w:tc>
          <w:tcPr>
            <w:tcW w:w="1245" w:type="pct"/>
            <w:noWrap w:val="0"/>
            <w:vAlign w:val="center"/>
          </w:tcPr>
          <w:p w14:paraId="7D9FD0A5">
            <w:pPr>
              <w:rPr>
                <w:sz w:val="21"/>
                <w:szCs w:val="21"/>
              </w:rPr>
            </w:pPr>
            <w:r>
              <w:rPr>
                <w:sz w:val="21"/>
                <w:szCs w:val="21"/>
              </w:rPr>
              <w:t>结节整体风险评估</w:t>
            </w:r>
          </w:p>
        </w:tc>
        <w:tc>
          <w:tcPr>
            <w:tcW w:w="3241" w:type="pct"/>
            <w:noWrap w:val="0"/>
            <w:vAlign w:val="center"/>
          </w:tcPr>
          <w:p w14:paraId="28AD7341">
            <w:pPr>
              <w:rPr>
                <w:sz w:val="21"/>
                <w:szCs w:val="21"/>
              </w:rPr>
            </w:pPr>
            <w:r>
              <w:rPr>
                <w:sz w:val="21"/>
                <w:szCs w:val="21"/>
              </w:rPr>
              <w:t>提供全部结节的风险分析列表，列表包含结节的良恶性预测风险值、浸润性预测、基于C-Lung-RADS模型的等级评估、基于C-Lung-RADS模型的随访建议、基于Lung-RADS指南的等级评估、基于Lung-RADS指南的随访建议</w:t>
            </w:r>
          </w:p>
        </w:tc>
      </w:tr>
      <w:tr w14:paraId="43236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4254C0C">
            <w:pPr>
              <w:rPr>
                <w:rFonts w:hint="default"/>
                <w:sz w:val="21"/>
                <w:szCs w:val="21"/>
                <w:lang w:val="en-US" w:eastAsia="zh-CN"/>
              </w:rPr>
            </w:pPr>
            <w:r>
              <w:rPr>
                <w:rFonts w:hint="eastAsia"/>
                <w:sz w:val="21"/>
                <w:szCs w:val="21"/>
                <w:lang w:val="en-US" w:eastAsia="zh-CN"/>
              </w:rPr>
              <w:t>2.5</w:t>
            </w:r>
          </w:p>
        </w:tc>
        <w:tc>
          <w:tcPr>
            <w:tcW w:w="1245" w:type="pct"/>
            <w:noWrap w:val="0"/>
            <w:vAlign w:val="center"/>
          </w:tcPr>
          <w:p w14:paraId="5680FF66">
            <w:pPr>
              <w:rPr>
                <w:sz w:val="21"/>
                <w:szCs w:val="21"/>
              </w:rPr>
            </w:pPr>
            <w:r>
              <w:rPr>
                <w:sz w:val="21"/>
                <w:szCs w:val="21"/>
              </w:rPr>
              <w:t>结节C-Lung-RADS等级风险评估</w:t>
            </w:r>
          </w:p>
        </w:tc>
        <w:tc>
          <w:tcPr>
            <w:tcW w:w="3241" w:type="pct"/>
            <w:noWrap w:val="0"/>
            <w:vAlign w:val="center"/>
          </w:tcPr>
          <w:p w14:paraId="74E1A300">
            <w:pPr>
              <w:rPr>
                <w:sz w:val="21"/>
                <w:szCs w:val="21"/>
              </w:rPr>
            </w:pPr>
            <w:r>
              <w:rPr>
                <w:sz w:val="21"/>
                <w:szCs w:val="21"/>
              </w:rPr>
              <w:t>支持用户更新临床信息，更新C-Lung-RADS分级结果</w:t>
            </w:r>
          </w:p>
        </w:tc>
      </w:tr>
      <w:tr w14:paraId="32D81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3187DEB">
            <w:pPr>
              <w:rPr>
                <w:rFonts w:hint="default"/>
                <w:sz w:val="21"/>
                <w:szCs w:val="21"/>
                <w:lang w:val="en-US" w:eastAsia="zh-CN"/>
              </w:rPr>
            </w:pPr>
            <w:r>
              <w:rPr>
                <w:rFonts w:hint="eastAsia"/>
                <w:sz w:val="21"/>
                <w:szCs w:val="21"/>
                <w:lang w:val="en-US" w:eastAsia="zh-CN"/>
              </w:rPr>
              <w:t>2.6</w:t>
            </w:r>
          </w:p>
        </w:tc>
        <w:tc>
          <w:tcPr>
            <w:tcW w:w="1245" w:type="pct"/>
            <w:noWrap w:val="0"/>
            <w:vAlign w:val="center"/>
          </w:tcPr>
          <w:p w14:paraId="3C1D6129">
            <w:pPr>
              <w:rPr>
                <w:sz w:val="21"/>
                <w:szCs w:val="21"/>
              </w:rPr>
            </w:pPr>
            <w:r>
              <w:rPr>
                <w:sz w:val="21"/>
                <w:szCs w:val="21"/>
              </w:rPr>
              <w:t>C-Lung-RADS模型风险预测灵敏度</w:t>
            </w:r>
          </w:p>
        </w:tc>
        <w:tc>
          <w:tcPr>
            <w:tcW w:w="3241" w:type="pct"/>
            <w:noWrap w:val="0"/>
            <w:vAlign w:val="center"/>
          </w:tcPr>
          <w:p w14:paraId="622B37F0">
            <w:pPr>
              <w:rPr>
                <w:sz w:val="21"/>
                <w:szCs w:val="21"/>
              </w:rPr>
            </w:pPr>
            <w:r>
              <w:rPr>
                <w:sz w:val="21"/>
                <w:szCs w:val="21"/>
              </w:rPr>
              <w:t>肺结节C-Lung-RADS模型风险预测灵敏度不低于85%，需提供第三方机构测试或文献证明。</w:t>
            </w:r>
          </w:p>
        </w:tc>
      </w:tr>
      <w:tr w14:paraId="458D8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644DB35F">
            <w:pPr>
              <w:rPr>
                <w:rFonts w:hint="default"/>
                <w:sz w:val="21"/>
                <w:szCs w:val="21"/>
                <w:lang w:val="en-US" w:eastAsia="zh-CN"/>
              </w:rPr>
            </w:pPr>
            <w:r>
              <w:rPr>
                <w:rFonts w:hint="eastAsia"/>
                <w:sz w:val="21"/>
                <w:szCs w:val="21"/>
                <w:lang w:val="en-US" w:eastAsia="zh-CN"/>
              </w:rPr>
              <w:t>2.7</w:t>
            </w:r>
          </w:p>
        </w:tc>
        <w:tc>
          <w:tcPr>
            <w:tcW w:w="1245" w:type="pct"/>
            <w:noWrap w:val="0"/>
            <w:vAlign w:val="center"/>
          </w:tcPr>
          <w:p w14:paraId="2F08C86A">
            <w:pPr>
              <w:rPr>
                <w:sz w:val="21"/>
                <w:szCs w:val="21"/>
              </w:rPr>
            </w:pPr>
            <w:r>
              <w:rPr>
                <w:sz w:val="21"/>
                <w:szCs w:val="21"/>
              </w:rPr>
              <w:t>C-Lung-RADS模型风险预测AUC曲线性能</w:t>
            </w:r>
          </w:p>
        </w:tc>
        <w:tc>
          <w:tcPr>
            <w:tcW w:w="3241" w:type="pct"/>
            <w:noWrap w:val="0"/>
            <w:vAlign w:val="center"/>
          </w:tcPr>
          <w:p w14:paraId="6BC44D91">
            <w:pPr>
              <w:rPr>
                <w:sz w:val="21"/>
                <w:szCs w:val="21"/>
              </w:rPr>
            </w:pPr>
            <w:r>
              <w:rPr>
                <w:sz w:val="21"/>
                <w:szCs w:val="21"/>
              </w:rPr>
              <w:t>肺结节C-Lung-RADS模型风险预测AUC曲线下面积不低于90%，需提供第三方机构测试或文献证明。</w:t>
            </w:r>
          </w:p>
        </w:tc>
      </w:tr>
      <w:tr w14:paraId="053D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35C34987">
            <w:pPr>
              <w:rPr>
                <w:rFonts w:hint="default"/>
                <w:sz w:val="21"/>
                <w:szCs w:val="21"/>
                <w:lang w:val="en-US" w:eastAsia="zh-CN"/>
              </w:rPr>
            </w:pPr>
            <w:r>
              <w:rPr>
                <w:rFonts w:hint="eastAsia"/>
                <w:sz w:val="21"/>
                <w:szCs w:val="21"/>
                <w:lang w:val="en-US" w:eastAsia="zh-CN"/>
              </w:rPr>
              <w:t>2.8</w:t>
            </w:r>
          </w:p>
        </w:tc>
        <w:tc>
          <w:tcPr>
            <w:tcW w:w="1245" w:type="pct"/>
            <w:noWrap w:val="0"/>
            <w:vAlign w:val="center"/>
          </w:tcPr>
          <w:p w14:paraId="62E040B1">
            <w:pPr>
              <w:rPr>
                <w:sz w:val="21"/>
                <w:szCs w:val="21"/>
              </w:rPr>
            </w:pPr>
            <w:r>
              <w:rPr>
                <w:sz w:val="21"/>
                <w:szCs w:val="21"/>
              </w:rPr>
              <w:t>腺癌风险评估</w:t>
            </w:r>
          </w:p>
        </w:tc>
        <w:tc>
          <w:tcPr>
            <w:tcW w:w="3241" w:type="pct"/>
            <w:noWrap w:val="0"/>
            <w:vAlign w:val="center"/>
          </w:tcPr>
          <w:p w14:paraId="302D022B">
            <w:pPr>
              <w:rPr>
                <w:sz w:val="21"/>
                <w:szCs w:val="21"/>
              </w:rPr>
            </w:pPr>
            <w:r>
              <w:rPr>
                <w:sz w:val="21"/>
                <w:szCs w:val="21"/>
              </w:rPr>
              <w:t>提供显示列表中结节的浸润性风险、气道内播散(STAS)风险、胸膜侵犯 (VPI) 风险、淋巴结转移风险、远端转移风险的风险概率值和风险等级预测结果</w:t>
            </w:r>
          </w:p>
        </w:tc>
      </w:tr>
      <w:tr w14:paraId="121A4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413A1658">
            <w:pPr>
              <w:rPr>
                <w:rFonts w:hint="default"/>
                <w:sz w:val="21"/>
                <w:szCs w:val="21"/>
                <w:lang w:val="en-US" w:eastAsia="zh-CN"/>
              </w:rPr>
            </w:pPr>
            <w:r>
              <w:rPr>
                <w:rFonts w:hint="eastAsia"/>
                <w:sz w:val="21"/>
                <w:szCs w:val="21"/>
                <w:lang w:val="en-US" w:eastAsia="zh-CN"/>
              </w:rPr>
              <w:t>2.9</w:t>
            </w:r>
          </w:p>
        </w:tc>
        <w:tc>
          <w:tcPr>
            <w:tcW w:w="1245" w:type="pct"/>
            <w:noWrap w:val="0"/>
            <w:vAlign w:val="center"/>
          </w:tcPr>
          <w:p w14:paraId="3397A246">
            <w:pPr>
              <w:rPr>
                <w:sz w:val="21"/>
                <w:szCs w:val="21"/>
              </w:rPr>
            </w:pPr>
            <w:r>
              <w:rPr>
                <w:sz w:val="21"/>
                <w:szCs w:val="21"/>
              </w:rPr>
              <w:t>实性成分分析</w:t>
            </w:r>
          </w:p>
        </w:tc>
        <w:tc>
          <w:tcPr>
            <w:tcW w:w="3241" w:type="pct"/>
            <w:noWrap w:val="0"/>
            <w:vAlign w:val="center"/>
          </w:tcPr>
          <w:p w14:paraId="736ED0DB">
            <w:pPr>
              <w:rPr>
                <w:sz w:val="21"/>
                <w:szCs w:val="21"/>
              </w:rPr>
            </w:pPr>
            <w:r>
              <w:rPr>
                <w:sz w:val="21"/>
                <w:szCs w:val="21"/>
              </w:rPr>
              <w:t>对于部分实性结节，自动测量和展示实性成分的长径值及占比、体积值及占比，在局部放大图中显示实性成分轮廓标记和长径标记</w:t>
            </w:r>
          </w:p>
        </w:tc>
      </w:tr>
      <w:tr w14:paraId="5B13E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42071EBE">
            <w:pPr>
              <w:rPr>
                <w:rFonts w:hint="default"/>
                <w:sz w:val="21"/>
                <w:szCs w:val="21"/>
                <w:lang w:val="en-US" w:eastAsia="zh-CN"/>
              </w:rPr>
            </w:pPr>
            <w:r>
              <w:rPr>
                <w:rFonts w:hint="eastAsia"/>
                <w:sz w:val="21"/>
                <w:szCs w:val="21"/>
                <w:lang w:val="en-US" w:eastAsia="zh-CN"/>
              </w:rPr>
              <w:t>2.10</w:t>
            </w:r>
          </w:p>
        </w:tc>
        <w:tc>
          <w:tcPr>
            <w:tcW w:w="1245" w:type="pct"/>
            <w:noWrap w:val="0"/>
            <w:vAlign w:val="center"/>
          </w:tcPr>
          <w:p w14:paraId="294E1BB3">
            <w:pPr>
              <w:rPr>
                <w:sz w:val="21"/>
                <w:szCs w:val="21"/>
              </w:rPr>
            </w:pPr>
            <w:r>
              <w:rPr>
                <w:sz w:val="21"/>
                <w:szCs w:val="21"/>
              </w:rPr>
              <w:t>轮廓编辑</w:t>
            </w:r>
          </w:p>
        </w:tc>
        <w:tc>
          <w:tcPr>
            <w:tcW w:w="3241" w:type="pct"/>
            <w:noWrap w:val="0"/>
            <w:vAlign w:val="center"/>
          </w:tcPr>
          <w:p w14:paraId="68D36C77">
            <w:pPr>
              <w:rPr>
                <w:sz w:val="21"/>
                <w:szCs w:val="21"/>
              </w:rPr>
            </w:pPr>
            <w:r>
              <w:rPr>
                <w:sz w:val="21"/>
                <w:szCs w:val="21"/>
              </w:rPr>
              <w:t>支持对结节进行轮廓编辑，并基于编辑结果更新结节信息</w:t>
            </w:r>
          </w:p>
        </w:tc>
      </w:tr>
      <w:tr w14:paraId="74542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AC19793">
            <w:pPr>
              <w:rPr>
                <w:rFonts w:hint="default"/>
                <w:sz w:val="21"/>
                <w:szCs w:val="21"/>
                <w:lang w:val="en-US" w:eastAsia="zh-CN"/>
              </w:rPr>
            </w:pPr>
            <w:r>
              <w:rPr>
                <w:rFonts w:hint="eastAsia"/>
                <w:sz w:val="21"/>
                <w:szCs w:val="21"/>
                <w:lang w:val="en-US" w:eastAsia="zh-CN"/>
              </w:rPr>
              <w:t>2.11</w:t>
            </w:r>
          </w:p>
        </w:tc>
        <w:tc>
          <w:tcPr>
            <w:tcW w:w="1245" w:type="pct"/>
            <w:noWrap w:val="0"/>
            <w:vAlign w:val="center"/>
          </w:tcPr>
          <w:p w14:paraId="6BF7F28C">
            <w:pPr>
              <w:rPr>
                <w:sz w:val="21"/>
                <w:szCs w:val="21"/>
              </w:rPr>
            </w:pPr>
            <w:r>
              <w:rPr>
                <w:sz w:val="21"/>
                <w:szCs w:val="21"/>
              </w:rPr>
              <w:t>肺转移结节预测</w:t>
            </w:r>
          </w:p>
        </w:tc>
        <w:tc>
          <w:tcPr>
            <w:tcW w:w="3241" w:type="pct"/>
            <w:noWrap w:val="0"/>
            <w:vAlign w:val="center"/>
          </w:tcPr>
          <w:p w14:paraId="645F466E">
            <w:pPr>
              <w:rPr>
                <w:sz w:val="21"/>
                <w:szCs w:val="21"/>
              </w:rPr>
            </w:pPr>
            <w:r>
              <w:rPr>
                <w:sz w:val="21"/>
                <w:szCs w:val="21"/>
              </w:rPr>
              <w:t>系统对检出的结节预测转移概率，支持一键对肺转移结节快速查看</w:t>
            </w:r>
          </w:p>
        </w:tc>
      </w:tr>
      <w:tr w14:paraId="0BC41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451973E1">
            <w:pPr>
              <w:rPr>
                <w:rFonts w:hint="default"/>
                <w:sz w:val="21"/>
                <w:szCs w:val="21"/>
                <w:lang w:val="en-US" w:eastAsia="zh-CN"/>
              </w:rPr>
            </w:pPr>
            <w:r>
              <w:rPr>
                <w:rFonts w:hint="eastAsia"/>
                <w:sz w:val="21"/>
                <w:szCs w:val="21"/>
                <w:lang w:val="en-US" w:eastAsia="zh-CN"/>
              </w:rPr>
              <w:t>2.12</w:t>
            </w:r>
          </w:p>
        </w:tc>
        <w:tc>
          <w:tcPr>
            <w:tcW w:w="1245" w:type="pct"/>
            <w:noWrap w:val="0"/>
            <w:vAlign w:val="center"/>
          </w:tcPr>
          <w:p w14:paraId="06EE592B">
            <w:pPr>
              <w:rPr>
                <w:sz w:val="21"/>
                <w:szCs w:val="21"/>
              </w:rPr>
            </w:pPr>
            <w:r>
              <w:rPr>
                <w:sz w:val="21"/>
                <w:szCs w:val="21"/>
              </w:rPr>
              <w:t>局部VR图像归档</w:t>
            </w:r>
          </w:p>
        </w:tc>
        <w:tc>
          <w:tcPr>
            <w:tcW w:w="3241" w:type="pct"/>
            <w:noWrap w:val="0"/>
            <w:vAlign w:val="center"/>
          </w:tcPr>
          <w:p w14:paraId="456A77B1">
            <w:pPr>
              <w:rPr>
                <w:sz w:val="21"/>
                <w:szCs w:val="21"/>
              </w:rPr>
            </w:pPr>
            <w:r>
              <w:rPr>
                <w:sz w:val="21"/>
                <w:szCs w:val="21"/>
              </w:rPr>
              <w:t>支持将局部VR图像添加至归档序列，方便医生将目标图像归档至PACS</w:t>
            </w:r>
          </w:p>
        </w:tc>
      </w:tr>
      <w:tr w14:paraId="5E509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C34EC20">
            <w:pPr>
              <w:rPr>
                <w:rFonts w:hint="default"/>
                <w:sz w:val="21"/>
                <w:szCs w:val="21"/>
                <w:lang w:val="en-US" w:eastAsia="zh-CN"/>
              </w:rPr>
            </w:pPr>
            <w:r>
              <w:rPr>
                <w:rFonts w:hint="eastAsia"/>
                <w:sz w:val="21"/>
                <w:szCs w:val="21"/>
                <w:lang w:val="en-US" w:eastAsia="zh-CN"/>
              </w:rPr>
              <w:t>2.13</w:t>
            </w:r>
          </w:p>
        </w:tc>
        <w:tc>
          <w:tcPr>
            <w:tcW w:w="1245" w:type="pct"/>
            <w:noWrap w:val="0"/>
            <w:vAlign w:val="center"/>
          </w:tcPr>
          <w:p w14:paraId="2A342589">
            <w:pPr>
              <w:rPr>
                <w:sz w:val="21"/>
                <w:szCs w:val="21"/>
              </w:rPr>
            </w:pPr>
            <w:r>
              <w:rPr>
                <w:sz w:val="21"/>
                <w:szCs w:val="21"/>
              </w:rPr>
              <w:t>全胸报告</w:t>
            </w:r>
          </w:p>
        </w:tc>
        <w:tc>
          <w:tcPr>
            <w:tcW w:w="3241" w:type="pct"/>
            <w:noWrap w:val="0"/>
            <w:vAlign w:val="center"/>
          </w:tcPr>
          <w:p w14:paraId="1CE28654">
            <w:pPr>
              <w:rPr>
                <w:sz w:val="21"/>
                <w:szCs w:val="21"/>
              </w:rPr>
            </w:pPr>
            <w:r>
              <w:rPr>
                <w:sz w:val="21"/>
                <w:szCs w:val="21"/>
              </w:rPr>
              <w:t>提供全胸报告，</w:t>
            </w:r>
            <w:bookmarkStart w:id="3" w:name="OLE_LINK2"/>
            <w:bookmarkStart w:id="4" w:name="OLE_LINK1"/>
            <w:r>
              <w:rPr>
                <w:sz w:val="21"/>
                <w:szCs w:val="21"/>
              </w:rPr>
              <w:t>支持用户个性化配置，</w:t>
            </w:r>
            <w:bookmarkStart w:id="5" w:name="OLE_LINK7"/>
            <w:r>
              <w:rPr>
                <w:sz w:val="21"/>
                <w:szCs w:val="21"/>
              </w:rPr>
              <w:t>可</w:t>
            </w:r>
            <w:bookmarkEnd w:id="3"/>
            <w:bookmarkEnd w:id="4"/>
            <w:r>
              <w:rPr>
                <w:sz w:val="21"/>
                <w:szCs w:val="21"/>
              </w:rPr>
              <w:t>复制、修改</w:t>
            </w:r>
            <w:bookmarkEnd w:id="5"/>
          </w:p>
        </w:tc>
      </w:tr>
      <w:tr w14:paraId="5243B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220B649">
            <w:pPr>
              <w:rPr>
                <w:rFonts w:hint="default"/>
                <w:sz w:val="21"/>
                <w:szCs w:val="21"/>
                <w:lang w:val="en-US" w:eastAsia="zh-CN"/>
              </w:rPr>
            </w:pPr>
            <w:r>
              <w:rPr>
                <w:rFonts w:hint="eastAsia"/>
                <w:sz w:val="21"/>
                <w:szCs w:val="21"/>
                <w:lang w:val="en-US" w:eastAsia="zh-CN"/>
              </w:rPr>
              <w:t>2.14</w:t>
            </w:r>
          </w:p>
        </w:tc>
        <w:tc>
          <w:tcPr>
            <w:tcW w:w="1245" w:type="pct"/>
            <w:noWrap w:val="0"/>
            <w:vAlign w:val="center"/>
          </w:tcPr>
          <w:p w14:paraId="206A861D">
            <w:pPr>
              <w:rPr>
                <w:sz w:val="21"/>
                <w:szCs w:val="21"/>
              </w:rPr>
            </w:pPr>
            <w:r>
              <w:rPr>
                <w:sz w:val="21"/>
                <w:szCs w:val="21"/>
              </w:rPr>
              <w:t>局部VR图像打印</w:t>
            </w:r>
          </w:p>
        </w:tc>
        <w:tc>
          <w:tcPr>
            <w:tcW w:w="3241" w:type="pct"/>
            <w:noWrap w:val="0"/>
            <w:vAlign w:val="center"/>
          </w:tcPr>
          <w:p w14:paraId="5AF7B1E8">
            <w:pPr>
              <w:rPr>
                <w:sz w:val="21"/>
                <w:szCs w:val="21"/>
              </w:rPr>
            </w:pPr>
            <w:r>
              <w:rPr>
                <w:sz w:val="21"/>
                <w:szCs w:val="21"/>
              </w:rPr>
              <w:t>支持选取局部VR图像至打印序列</w:t>
            </w:r>
          </w:p>
        </w:tc>
      </w:tr>
      <w:tr w14:paraId="5791A275">
        <w:tblPrEx>
          <w:tblCellMar>
            <w:top w:w="0" w:type="dxa"/>
            <w:left w:w="108" w:type="dxa"/>
            <w:bottom w:w="0" w:type="dxa"/>
            <w:right w:w="108" w:type="dxa"/>
          </w:tblCellMar>
        </w:tblPrEx>
        <w:trPr>
          <w:trHeight w:val="147" w:hRule="atLeast"/>
          <w:jc w:val="center"/>
        </w:trPr>
        <w:tc>
          <w:tcPr>
            <w:tcW w:w="512" w:type="pct"/>
            <w:noWrap w:val="0"/>
            <w:vAlign w:val="center"/>
          </w:tcPr>
          <w:p w14:paraId="60440378">
            <w:pPr>
              <w:rPr>
                <w:rFonts w:hint="default"/>
                <w:sz w:val="21"/>
                <w:szCs w:val="21"/>
                <w:lang w:val="en-US" w:eastAsia="zh-CN"/>
              </w:rPr>
            </w:pPr>
            <w:r>
              <w:rPr>
                <w:rFonts w:hint="eastAsia"/>
                <w:sz w:val="21"/>
                <w:szCs w:val="21"/>
                <w:lang w:val="en-US" w:eastAsia="zh-CN"/>
              </w:rPr>
              <w:t>2.15</w:t>
            </w:r>
          </w:p>
        </w:tc>
        <w:tc>
          <w:tcPr>
            <w:tcW w:w="1245" w:type="pct"/>
            <w:noWrap w:val="0"/>
            <w:vAlign w:val="center"/>
          </w:tcPr>
          <w:p w14:paraId="41276A4D">
            <w:pPr>
              <w:rPr>
                <w:sz w:val="21"/>
                <w:szCs w:val="21"/>
              </w:rPr>
            </w:pPr>
            <w:r>
              <w:rPr>
                <w:sz w:val="21"/>
                <w:szCs w:val="21"/>
              </w:rPr>
              <w:t>肺结节管理模块</w:t>
            </w:r>
          </w:p>
        </w:tc>
        <w:tc>
          <w:tcPr>
            <w:tcW w:w="3241" w:type="pct"/>
            <w:noWrap w:val="0"/>
            <w:vAlign w:val="center"/>
          </w:tcPr>
          <w:p w14:paraId="78AEB615">
            <w:pPr>
              <w:rPr>
                <w:sz w:val="21"/>
                <w:szCs w:val="21"/>
              </w:rPr>
            </w:pPr>
            <w:r>
              <w:rPr>
                <w:sz w:val="21"/>
                <w:szCs w:val="21"/>
              </w:rPr>
              <w:t>提供数据管理及随访管理功能</w:t>
            </w:r>
          </w:p>
        </w:tc>
      </w:tr>
      <w:tr w14:paraId="63DC183C">
        <w:tblPrEx>
          <w:tblCellMar>
            <w:top w:w="0" w:type="dxa"/>
            <w:left w:w="108" w:type="dxa"/>
            <w:bottom w:w="0" w:type="dxa"/>
            <w:right w:w="108" w:type="dxa"/>
          </w:tblCellMar>
        </w:tblPrEx>
        <w:trPr>
          <w:trHeight w:val="147" w:hRule="atLeast"/>
          <w:jc w:val="center"/>
        </w:trPr>
        <w:tc>
          <w:tcPr>
            <w:tcW w:w="512" w:type="pct"/>
            <w:noWrap w:val="0"/>
            <w:vAlign w:val="center"/>
          </w:tcPr>
          <w:p w14:paraId="05329610">
            <w:pPr>
              <w:rPr>
                <w:rFonts w:hint="default"/>
                <w:sz w:val="21"/>
                <w:szCs w:val="21"/>
                <w:lang w:val="en-US" w:eastAsia="zh-CN"/>
              </w:rPr>
            </w:pPr>
            <w:r>
              <w:rPr>
                <w:rFonts w:hint="eastAsia"/>
                <w:sz w:val="21"/>
                <w:szCs w:val="21"/>
                <w:lang w:val="en-US" w:eastAsia="zh-CN"/>
              </w:rPr>
              <w:t>2.16</w:t>
            </w:r>
          </w:p>
        </w:tc>
        <w:tc>
          <w:tcPr>
            <w:tcW w:w="1245" w:type="pct"/>
            <w:noWrap w:val="0"/>
            <w:vAlign w:val="center"/>
          </w:tcPr>
          <w:p w14:paraId="2D449FEF">
            <w:pPr>
              <w:rPr>
                <w:sz w:val="21"/>
                <w:szCs w:val="21"/>
              </w:rPr>
            </w:pPr>
            <w:r>
              <w:rPr>
                <w:sz w:val="21"/>
                <w:szCs w:val="21"/>
              </w:rPr>
              <w:t>随访管理模块</w:t>
            </w:r>
          </w:p>
        </w:tc>
        <w:tc>
          <w:tcPr>
            <w:tcW w:w="3241" w:type="pct"/>
            <w:noWrap w:val="0"/>
            <w:vAlign w:val="center"/>
          </w:tcPr>
          <w:p w14:paraId="208C89E5">
            <w:pPr>
              <w:rPr>
                <w:sz w:val="21"/>
                <w:szCs w:val="21"/>
              </w:rPr>
            </w:pPr>
            <w:r>
              <w:rPr>
                <w:sz w:val="21"/>
                <w:szCs w:val="21"/>
              </w:rPr>
              <w:t>系统根据国际标准指南提供默认的随访时间建议，支持给每个病例添加随访管理计划，并且可以在随访管理模块对有随访计划的病例进行筛选、查询以进行随访状态的追踪</w:t>
            </w:r>
          </w:p>
        </w:tc>
      </w:tr>
      <w:tr w14:paraId="66F94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137B933F">
            <w:pPr>
              <w:rPr>
                <w:rFonts w:hint="default"/>
                <w:sz w:val="21"/>
                <w:szCs w:val="21"/>
                <w:lang w:val="en-US" w:eastAsia="zh-CN"/>
              </w:rPr>
            </w:pPr>
            <w:r>
              <w:rPr>
                <w:rFonts w:hint="eastAsia"/>
                <w:sz w:val="21"/>
                <w:szCs w:val="21"/>
                <w:lang w:val="en-US" w:eastAsia="zh-CN"/>
              </w:rPr>
              <w:t>2.17</w:t>
            </w:r>
          </w:p>
        </w:tc>
        <w:tc>
          <w:tcPr>
            <w:tcW w:w="1245" w:type="pct"/>
            <w:noWrap w:val="0"/>
            <w:vAlign w:val="center"/>
          </w:tcPr>
          <w:p w14:paraId="214B6DD5">
            <w:pPr>
              <w:rPr>
                <w:sz w:val="21"/>
                <w:szCs w:val="21"/>
              </w:rPr>
            </w:pPr>
            <w:r>
              <w:rPr>
                <w:sz w:val="21"/>
                <w:szCs w:val="21"/>
              </w:rPr>
              <w:t>数据管理模块</w:t>
            </w:r>
          </w:p>
        </w:tc>
        <w:tc>
          <w:tcPr>
            <w:tcW w:w="3241" w:type="pct"/>
            <w:noWrap w:val="0"/>
            <w:vAlign w:val="center"/>
          </w:tcPr>
          <w:p w14:paraId="221C912D">
            <w:pPr>
              <w:rPr>
                <w:sz w:val="21"/>
                <w:szCs w:val="21"/>
              </w:rPr>
            </w:pPr>
            <w:r>
              <w:rPr>
                <w:sz w:val="21"/>
                <w:szCs w:val="21"/>
              </w:rPr>
              <w:t>汇总展示肺结节算法计算成功的所有病例，支持通过结节大小、随访状态等至少12种条件对数据进行筛选、添加至随访操作，并提供csv导出功能</w:t>
            </w:r>
          </w:p>
        </w:tc>
      </w:tr>
      <w:tr w14:paraId="3A5D8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55E7528">
            <w:pPr>
              <w:rPr>
                <w:rFonts w:hint="default"/>
                <w:sz w:val="21"/>
                <w:szCs w:val="21"/>
                <w:lang w:val="en-US" w:eastAsia="zh-CN"/>
              </w:rPr>
            </w:pPr>
            <w:r>
              <w:rPr>
                <w:rFonts w:hint="eastAsia"/>
                <w:sz w:val="21"/>
                <w:szCs w:val="21"/>
                <w:lang w:val="en-US" w:eastAsia="zh-CN"/>
              </w:rPr>
              <w:t>2.18</w:t>
            </w:r>
          </w:p>
        </w:tc>
        <w:tc>
          <w:tcPr>
            <w:tcW w:w="1245" w:type="pct"/>
            <w:noWrap w:val="0"/>
            <w:vAlign w:val="center"/>
          </w:tcPr>
          <w:p w14:paraId="196E1095">
            <w:pPr>
              <w:rPr>
                <w:sz w:val="21"/>
                <w:szCs w:val="21"/>
              </w:rPr>
            </w:pPr>
            <w:r>
              <w:rPr>
                <w:sz w:val="21"/>
                <w:szCs w:val="21"/>
              </w:rPr>
              <w:t>肺结节检出性能</w:t>
            </w:r>
          </w:p>
        </w:tc>
        <w:tc>
          <w:tcPr>
            <w:tcW w:w="3241" w:type="pct"/>
            <w:noWrap w:val="0"/>
            <w:vAlign w:val="center"/>
          </w:tcPr>
          <w:p w14:paraId="1787BE73">
            <w:pPr>
              <w:rPr>
                <w:sz w:val="21"/>
                <w:szCs w:val="21"/>
              </w:rPr>
            </w:pPr>
            <w:r>
              <w:rPr>
                <w:sz w:val="21"/>
                <w:szCs w:val="21"/>
              </w:rPr>
              <w:t>肺结节在3mm-5mm尺寸范围内的检出敏感性≥90%，肺结节在大于5mm尺寸范围内的检出敏感性≥95%，需提供第三方机构测试或文献证明</w:t>
            </w:r>
          </w:p>
        </w:tc>
      </w:tr>
      <w:tr w14:paraId="34ADF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43B0FAE1">
            <w:pPr>
              <w:rPr>
                <w:rFonts w:hint="default"/>
                <w:sz w:val="21"/>
                <w:szCs w:val="21"/>
                <w:lang w:val="en-US" w:eastAsia="zh-CN"/>
              </w:rPr>
            </w:pPr>
            <w:r>
              <w:rPr>
                <w:rFonts w:hint="eastAsia"/>
                <w:sz w:val="21"/>
                <w:szCs w:val="21"/>
                <w:lang w:val="en-US" w:eastAsia="zh-CN"/>
              </w:rPr>
              <w:t>2.19</w:t>
            </w:r>
          </w:p>
        </w:tc>
        <w:tc>
          <w:tcPr>
            <w:tcW w:w="1245" w:type="pct"/>
            <w:noWrap w:val="0"/>
            <w:vAlign w:val="center"/>
          </w:tcPr>
          <w:p w14:paraId="75D77F81">
            <w:pPr>
              <w:rPr>
                <w:sz w:val="21"/>
                <w:szCs w:val="21"/>
              </w:rPr>
            </w:pPr>
            <w:r>
              <w:rPr>
                <w:sz w:val="21"/>
                <w:szCs w:val="21"/>
              </w:rPr>
              <w:t>肺结节量化对比</w:t>
            </w:r>
          </w:p>
        </w:tc>
        <w:tc>
          <w:tcPr>
            <w:tcW w:w="3241" w:type="pct"/>
            <w:noWrap w:val="0"/>
            <w:vAlign w:val="center"/>
          </w:tcPr>
          <w:p w14:paraId="0F53367F">
            <w:pPr>
              <w:rPr>
                <w:sz w:val="21"/>
                <w:szCs w:val="21"/>
              </w:rPr>
            </w:pPr>
            <w:r>
              <w:rPr>
                <w:sz w:val="21"/>
                <w:szCs w:val="21"/>
              </w:rPr>
              <w:t>提供具备随访功能产品的医疗器械注册证（不包括具备随访功能的肺炎辅助分诊软件），提供产品注册证复印件并加盖公章</w:t>
            </w:r>
          </w:p>
        </w:tc>
      </w:tr>
      <w:tr w14:paraId="4DF136FA">
        <w:tblPrEx>
          <w:tblCellMar>
            <w:top w:w="0" w:type="dxa"/>
            <w:left w:w="108" w:type="dxa"/>
            <w:bottom w:w="0" w:type="dxa"/>
            <w:right w:w="108" w:type="dxa"/>
          </w:tblCellMar>
        </w:tblPrEx>
        <w:trPr>
          <w:trHeight w:val="147" w:hRule="atLeast"/>
          <w:jc w:val="center"/>
        </w:trPr>
        <w:tc>
          <w:tcPr>
            <w:tcW w:w="512" w:type="pct"/>
            <w:noWrap w:val="0"/>
            <w:vAlign w:val="center"/>
          </w:tcPr>
          <w:p w14:paraId="756E6906">
            <w:pPr>
              <w:rPr>
                <w:rFonts w:hint="default"/>
                <w:sz w:val="21"/>
                <w:szCs w:val="21"/>
                <w:lang w:val="en-US" w:eastAsia="zh-CN"/>
              </w:rPr>
            </w:pPr>
            <w:r>
              <w:rPr>
                <w:rFonts w:hint="eastAsia"/>
                <w:sz w:val="21"/>
                <w:szCs w:val="21"/>
                <w:lang w:val="en-US" w:eastAsia="zh-CN"/>
              </w:rPr>
              <w:t>2.20</w:t>
            </w:r>
          </w:p>
        </w:tc>
        <w:tc>
          <w:tcPr>
            <w:tcW w:w="1245" w:type="pct"/>
            <w:noWrap w:val="0"/>
            <w:vAlign w:val="center"/>
          </w:tcPr>
          <w:p w14:paraId="6DCAC83E">
            <w:pPr>
              <w:rPr>
                <w:sz w:val="21"/>
                <w:szCs w:val="21"/>
              </w:rPr>
            </w:pPr>
            <w:r>
              <w:rPr>
                <w:sz w:val="21"/>
                <w:szCs w:val="21"/>
              </w:rPr>
              <w:t>病灶成分与组学特征对比</w:t>
            </w:r>
          </w:p>
        </w:tc>
        <w:tc>
          <w:tcPr>
            <w:tcW w:w="3241" w:type="pct"/>
            <w:noWrap w:val="0"/>
            <w:vAlign w:val="center"/>
          </w:tcPr>
          <w:p w14:paraId="04DF9136">
            <w:pPr>
              <w:rPr>
                <w:sz w:val="21"/>
                <w:szCs w:val="21"/>
              </w:rPr>
            </w:pPr>
            <w:r>
              <w:rPr>
                <w:sz w:val="21"/>
                <w:szCs w:val="21"/>
              </w:rPr>
              <w:t>通过直方图提供结节不同成分对比分析，同时提供不同成分的体积占比、质量占比对比分析、多维CT组学特征值对比分析，支持结节征象对比分析</w:t>
            </w:r>
          </w:p>
        </w:tc>
      </w:tr>
      <w:tr w14:paraId="68E1F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0089068B">
            <w:pPr>
              <w:rPr>
                <w:rFonts w:hint="default"/>
                <w:sz w:val="21"/>
                <w:szCs w:val="21"/>
                <w:lang w:val="en-US" w:eastAsia="zh-CN"/>
              </w:rPr>
            </w:pPr>
            <w:r>
              <w:rPr>
                <w:rFonts w:hint="eastAsia"/>
                <w:sz w:val="21"/>
                <w:szCs w:val="21"/>
                <w:lang w:val="en-US" w:eastAsia="zh-CN"/>
              </w:rPr>
              <w:t>2.21</w:t>
            </w:r>
          </w:p>
        </w:tc>
        <w:tc>
          <w:tcPr>
            <w:tcW w:w="1245" w:type="pct"/>
            <w:noWrap w:val="0"/>
            <w:vAlign w:val="center"/>
          </w:tcPr>
          <w:p w14:paraId="7E85E644">
            <w:pPr>
              <w:rPr>
                <w:sz w:val="21"/>
                <w:szCs w:val="21"/>
              </w:rPr>
            </w:pPr>
            <w:r>
              <w:rPr>
                <w:sz w:val="21"/>
                <w:szCs w:val="21"/>
              </w:rPr>
              <w:t>随访图文报告</w:t>
            </w:r>
          </w:p>
        </w:tc>
        <w:tc>
          <w:tcPr>
            <w:tcW w:w="3241" w:type="pct"/>
            <w:noWrap w:val="0"/>
            <w:vAlign w:val="center"/>
          </w:tcPr>
          <w:p w14:paraId="6E1B2FEC">
            <w:pPr>
              <w:rPr>
                <w:sz w:val="21"/>
                <w:szCs w:val="21"/>
              </w:rPr>
            </w:pPr>
            <w:r>
              <w:rPr>
                <w:sz w:val="21"/>
                <w:szCs w:val="21"/>
              </w:rPr>
              <w:t>支持手动选择有临床意义的结节，生成图文报告并归档到PACS，支持修改、保存及导出</w:t>
            </w:r>
          </w:p>
        </w:tc>
      </w:tr>
      <w:tr w14:paraId="46B90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98D5206">
            <w:pPr>
              <w:rPr>
                <w:rFonts w:hint="default"/>
                <w:sz w:val="21"/>
                <w:szCs w:val="21"/>
                <w:lang w:val="en-US" w:eastAsia="zh-CN"/>
              </w:rPr>
            </w:pPr>
            <w:r>
              <w:rPr>
                <w:rFonts w:hint="eastAsia"/>
                <w:sz w:val="21"/>
                <w:szCs w:val="21"/>
                <w:lang w:val="en-US" w:eastAsia="zh-CN"/>
              </w:rPr>
              <w:t>2.22</w:t>
            </w:r>
          </w:p>
        </w:tc>
        <w:tc>
          <w:tcPr>
            <w:tcW w:w="1245" w:type="pct"/>
            <w:noWrap w:val="0"/>
            <w:vAlign w:val="center"/>
          </w:tcPr>
          <w:p w14:paraId="39CB888D">
            <w:pPr>
              <w:rPr>
                <w:sz w:val="21"/>
                <w:szCs w:val="21"/>
              </w:rPr>
            </w:pPr>
            <w:r>
              <w:rPr>
                <w:sz w:val="21"/>
                <w:szCs w:val="21"/>
              </w:rPr>
              <w:t>肺叶配准性能</w:t>
            </w:r>
          </w:p>
        </w:tc>
        <w:tc>
          <w:tcPr>
            <w:tcW w:w="3241" w:type="pct"/>
            <w:noWrap w:val="0"/>
            <w:vAlign w:val="center"/>
          </w:tcPr>
          <w:p w14:paraId="2410FC79">
            <w:pPr>
              <w:rPr>
                <w:sz w:val="21"/>
                <w:szCs w:val="21"/>
              </w:rPr>
            </w:pPr>
            <w:r>
              <w:rPr>
                <w:sz w:val="21"/>
                <w:szCs w:val="21"/>
              </w:rPr>
              <w:t>肺叶配准后平均Dice值高于95%，提供第三方检测报告或文献证明</w:t>
            </w:r>
          </w:p>
        </w:tc>
      </w:tr>
      <w:tr w14:paraId="5DADD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E790E05">
            <w:pPr>
              <w:rPr>
                <w:rFonts w:hint="default"/>
                <w:sz w:val="21"/>
                <w:szCs w:val="21"/>
                <w:lang w:val="en-US" w:eastAsia="zh-CN"/>
              </w:rPr>
            </w:pPr>
            <w:r>
              <w:rPr>
                <w:rFonts w:hint="eastAsia"/>
                <w:sz w:val="21"/>
                <w:szCs w:val="21"/>
                <w:lang w:val="en-US" w:eastAsia="zh-CN"/>
              </w:rPr>
              <w:t>2.23</w:t>
            </w:r>
          </w:p>
        </w:tc>
        <w:tc>
          <w:tcPr>
            <w:tcW w:w="1245" w:type="pct"/>
            <w:noWrap w:val="0"/>
            <w:vAlign w:val="center"/>
          </w:tcPr>
          <w:p w14:paraId="1794E205">
            <w:pPr>
              <w:rPr>
                <w:sz w:val="21"/>
                <w:szCs w:val="21"/>
              </w:rPr>
            </w:pPr>
            <w:r>
              <w:rPr>
                <w:sz w:val="21"/>
                <w:szCs w:val="21"/>
              </w:rPr>
              <w:t>病灶配准距离</w:t>
            </w:r>
          </w:p>
        </w:tc>
        <w:tc>
          <w:tcPr>
            <w:tcW w:w="3241" w:type="pct"/>
            <w:noWrap w:val="0"/>
            <w:vAlign w:val="center"/>
          </w:tcPr>
          <w:p w14:paraId="1A6A0E1F">
            <w:pPr>
              <w:rPr>
                <w:sz w:val="21"/>
                <w:szCs w:val="21"/>
              </w:rPr>
            </w:pPr>
            <w:r>
              <w:rPr>
                <w:sz w:val="21"/>
                <w:szCs w:val="21"/>
              </w:rPr>
              <w:t>随访关联病灶配准后距离小于等于3mm，提供第三方检测报告或文献证明</w:t>
            </w:r>
          </w:p>
        </w:tc>
      </w:tr>
      <w:tr w14:paraId="3C943C50">
        <w:tblPrEx>
          <w:tblCellMar>
            <w:top w:w="0" w:type="dxa"/>
            <w:left w:w="108" w:type="dxa"/>
            <w:bottom w:w="0" w:type="dxa"/>
            <w:right w:w="108" w:type="dxa"/>
          </w:tblCellMar>
        </w:tblPrEx>
        <w:trPr>
          <w:trHeight w:val="147" w:hRule="atLeast"/>
          <w:jc w:val="center"/>
        </w:trPr>
        <w:tc>
          <w:tcPr>
            <w:tcW w:w="512" w:type="pct"/>
            <w:noWrap w:val="0"/>
            <w:vAlign w:val="center"/>
          </w:tcPr>
          <w:p w14:paraId="15820074">
            <w:pPr>
              <w:rPr>
                <w:rFonts w:hint="eastAsia"/>
                <w:sz w:val="21"/>
                <w:szCs w:val="21"/>
                <w:lang w:val="en-US" w:eastAsia="zh-CN"/>
              </w:rPr>
            </w:pPr>
            <w:r>
              <w:rPr>
                <w:rFonts w:hint="eastAsia"/>
                <w:sz w:val="21"/>
                <w:szCs w:val="21"/>
                <w:lang w:val="en-US" w:eastAsia="zh-CN"/>
              </w:rPr>
              <w:t>3</w:t>
            </w:r>
          </w:p>
        </w:tc>
        <w:tc>
          <w:tcPr>
            <w:tcW w:w="1245" w:type="pct"/>
            <w:noWrap w:val="0"/>
            <w:vAlign w:val="center"/>
          </w:tcPr>
          <w:p w14:paraId="278474F9">
            <w:pPr>
              <w:rPr>
                <w:sz w:val="21"/>
                <w:szCs w:val="21"/>
              </w:rPr>
            </w:pPr>
            <w:r>
              <w:rPr>
                <w:sz w:val="21"/>
                <w:szCs w:val="21"/>
              </w:rPr>
              <w:t>肺栓塞CT血管造影图像辅助分诊软件</w:t>
            </w:r>
          </w:p>
        </w:tc>
        <w:tc>
          <w:tcPr>
            <w:tcW w:w="3241" w:type="pct"/>
            <w:noWrap w:val="0"/>
            <w:vAlign w:val="center"/>
          </w:tcPr>
          <w:p w14:paraId="60C83BAC">
            <w:pPr>
              <w:rPr>
                <w:sz w:val="21"/>
                <w:szCs w:val="21"/>
              </w:rPr>
            </w:pPr>
          </w:p>
        </w:tc>
      </w:tr>
      <w:tr w14:paraId="762E7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47806039">
            <w:pPr>
              <w:rPr>
                <w:sz w:val="21"/>
                <w:szCs w:val="21"/>
              </w:rPr>
            </w:pPr>
            <w:r>
              <w:rPr>
                <w:rFonts w:hint="eastAsia"/>
                <w:sz w:val="21"/>
                <w:szCs w:val="21"/>
                <w:lang w:val="en-US" w:eastAsia="zh-CN"/>
              </w:rPr>
              <w:t>3</w:t>
            </w:r>
            <w:r>
              <w:rPr>
                <w:sz w:val="21"/>
                <w:szCs w:val="21"/>
              </w:rPr>
              <w:t>.1</w:t>
            </w:r>
          </w:p>
        </w:tc>
        <w:tc>
          <w:tcPr>
            <w:tcW w:w="1245" w:type="pct"/>
            <w:noWrap w:val="0"/>
            <w:vAlign w:val="center"/>
          </w:tcPr>
          <w:p w14:paraId="307C3732">
            <w:pPr>
              <w:rPr>
                <w:sz w:val="21"/>
                <w:szCs w:val="21"/>
              </w:rPr>
            </w:pPr>
            <w:r>
              <w:rPr>
                <w:sz w:val="21"/>
                <w:szCs w:val="21"/>
              </w:rPr>
              <w:t>医疗器械注册证</w:t>
            </w:r>
          </w:p>
        </w:tc>
        <w:tc>
          <w:tcPr>
            <w:tcW w:w="3241" w:type="pct"/>
            <w:noWrap w:val="0"/>
            <w:vAlign w:val="center"/>
          </w:tcPr>
          <w:p w14:paraId="58F91250">
            <w:pPr>
              <w:rPr>
                <w:sz w:val="21"/>
                <w:szCs w:val="21"/>
              </w:rPr>
            </w:pPr>
            <w:r>
              <w:rPr>
                <w:sz w:val="21"/>
                <w:szCs w:val="21"/>
              </w:rPr>
              <w:t>具备第三类管理类别中华人民共和国医疗器械注册证，提供产品注册证复印件并加盖公章</w:t>
            </w:r>
          </w:p>
        </w:tc>
      </w:tr>
      <w:tr w14:paraId="23500692">
        <w:tblPrEx>
          <w:tblCellMar>
            <w:top w:w="0" w:type="dxa"/>
            <w:left w:w="108" w:type="dxa"/>
            <w:bottom w:w="0" w:type="dxa"/>
            <w:right w:w="108" w:type="dxa"/>
          </w:tblCellMar>
        </w:tblPrEx>
        <w:trPr>
          <w:trHeight w:val="147" w:hRule="atLeast"/>
          <w:jc w:val="center"/>
        </w:trPr>
        <w:tc>
          <w:tcPr>
            <w:tcW w:w="512" w:type="pct"/>
            <w:noWrap w:val="0"/>
            <w:vAlign w:val="center"/>
          </w:tcPr>
          <w:p w14:paraId="684A8ED9">
            <w:pPr>
              <w:rPr>
                <w:sz w:val="21"/>
                <w:szCs w:val="21"/>
              </w:rPr>
            </w:pPr>
            <w:r>
              <w:rPr>
                <w:rFonts w:hint="eastAsia"/>
                <w:sz w:val="21"/>
                <w:szCs w:val="21"/>
                <w:lang w:val="en-US" w:eastAsia="zh-CN"/>
              </w:rPr>
              <w:t>3</w:t>
            </w:r>
            <w:r>
              <w:rPr>
                <w:sz w:val="21"/>
                <w:szCs w:val="21"/>
              </w:rPr>
              <w:t>.2</w:t>
            </w:r>
          </w:p>
        </w:tc>
        <w:tc>
          <w:tcPr>
            <w:tcW w:w="1245" w:type="pct"/>
            <w:noWrap w:val="0"/>
            <w:vAlign w:val="center"/>
          </w:tcPr>
          <w:p w14:paraId="205F4DBE">
            <w:pPr>
              <w:rPr>
                <w:sz w:val="21"/>
                <w:szCs w:val="21"/>
              </w:rPr>
            </w:pPr>
            <w:r>
              <w:rPr>
                <w:sz w:val="21"/>
                <w:szCs w:val="21"/>
              </w:rPr>
              <w:t>肺动脉自动分割</w:t>
            </w:r>
          </w:p>
        </w:tc>
        <w:tc>
          <w:tcPr>
            <w:tcW w:w="3241" w:type="pct"/>
            <w:noWrap w:val="0"/>
            <w:vAlign w:val="center"/>
          </w:tcPr>
          <w:p w14:paraId="2E73F3E9">
            <w:pPr>
              <w:rPr>
                <w:sz w:val="21"/>
                <w:szCs w:val="21"/>
              </w:rPr>
            </w:pPr>
            <w:r>
              <w:rPr>
                <w:sz w:val="21"/>
                <w:szCs w:val="21"/>
              </w:rPr>
              <w:t>系统支持自动分割肺动脉，支持在图像中显示肺动脉分割区域的mask标记、轮廓标记</w:t>
            </w:r>
          </w:p>
        </w:tc>
      </w:tr>
      <w:tr w14:paraId="146F5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B07AB12">
            <w:pPr>
              <w:rPr>
                <w:sz w:val="21"/>
                <w:szCs w:val="21"/>
              </w:rPr>
            </w:pPr>
            <w:r>
              <w:rPr>
                <w:rFonts w:hint="eastAsia"/>
                <w:sz w:val="21"/>
                <w:szCs w:val="21"/>
                <w:lang w:val="en-US" w:eastAsia="zh-CN"/>
              </w:rPr>
              <w:t>3</w:t>
            </w:r>
            <w:r>
              <w:rPr>
                <w:sz w:val="21"/>
                <w:szCs w:val="21"/>
              </w:rPr>
              <w:t>.3</w:t>
            </w:r>
          </w:p>
        </w:tc>
        <w:tc>
          <w:tcPr>
            <w:tcW w:w="1245" w:type="pct"/>
            <w:noWrap w:val="0"/>
            <w:vAlign w:val="center"/>
          </w:tcPr>
          <w:p w14:paraId="44DBB503">
            <w:pPr>
              <w:rPr>
                <w:sz w:val="21"/>
                <w:szCs w:val="21"/>
              </w:rPr>
            </w:pPr>
            <w:r>
              <w:rPr>
                <w:sz w:val="21"/>
                <w:szCs w:val="21"/>
              </w:rPr>
              <w:t>栓子自动检出和分割</w:t>
            </w:r>
          </w:p>
        </w:tc>
        <w:tc>
          <w:tcPr>
            <w:tcW w:w="3241" w:type="pct"/>
            <w:noWrap w:val="0"/>
            <w:vAlign w:val="center"/>
          </w:tcPr>
          <w:p w14:paraId="235C3446">
            <w:pPr>
              <w:rPr>
                <w:sz w:val="21"/>
                <w:szCs w:val="21"/>
              </w:rPr>
            </w:pPr>
            <w:r>
              <w:rPr>
                <w:sz w:val="21"/>
                <w:szCs w:val="21"/>
              </w:rPr>
              <w:t>系统支持自动检测和分割肺动脉中的栓子</w:t>
            </w:r>
          </w:p>
        </w:tc>
      </w:tr>
      <w:tr w14:paraId="70F86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6A8E8536">
            <w:pPr>
              <w:rPr>
                <w:sz w:val="21"/>
                <w:szCs w:val="21"/>
              </w:rPr>
            </w:pPr>
            <w:r>
              <w:rPr>
                <w:rFonts w:hint="eastAsia"/>
                <w:sz w:val="21"/>
                <w:szCs w:val="21"/>
                <w:lang w:val="en-US" w:eastAsia="zh-CN"/>
              </w:rPr>
              <w:t>3</w:t>
            </w:r>
            <w:r>
              <w:rPr>
                <w:sz w:val="21"/>
                <w:szCs w:val="21"/>
              </w:rPr>
              <w:t>.4</w:t>
            </w:r>
          </w:p>
        </w:tc>
        <w:tc>
          <w:tcPr>
            <w:tcW w:w="1245" w:type="pct"/>
            <w:noWrap w:val="0"/>
            <w:vAlign w:val="center"/>
          </w:tcPr>
          <w:p w14:paraId="17D031D4">
            <w:pPr>
              <w:rPr>
                <w:sz w:val="21"/>
                <w:szCs w:val="21"/>
              </w:rPr>
            </w:pPr>
            <w:r>
              <w:rPr>
                <w:sz w:val="21"/>
                <w:szCs w:val="21"/>
              </w:rPr>
              <w:t>心室心房自动分割</w:t>
            </w:r>
          </w:p>
        </w:tc>
        <w:tc>
          <w:tcPr>
            <w:tcW w:w="3241" w:type="pct"/>
            <w:noWrap w:val="0"/>
            <w:vAlign w:val="center"/>
          </w:tcPr>
          <w:p w14:paraId="7827D81B">
            <w:pPr>
              <w:rPr>
                <w:sz w:val="21"/>
                <w:szCs w:val="21"/>
              </w:rPr>
            </w:pPr>
            <w:r>
              <w:rPr>
                <w:sz w:val="21"/>
                <w:szCs w:val="21"/>
              </w:rPr>
              <w:t>系统支持对心脏自动分割，支持在MPR图像中显示心房、心室分割区域mask标记</w:t>
            </w:r>
          </w:p>
        </w:tc>
      </w:tr>
      <w:tr w14:paraId="6C0F1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11F0F914">
            <w:pPr>
              <w:rPr>
                <w:sz w:val="21"/>
                <w:szCs w:val="21"/>
              </w:rPr>
            </w:pPr>
            <w:r>
              <w:rPr>
                <w:rFonts w:hint="eastAsia"/>
                <w:sz w:val="21"/>
                <w:szCs w:val="21"/>
                <w:lang w:val="en-US" w:eastAsia="zh-CN"/>
              </w:rPr>
              <w:t>3</w:t>
            </w:r>
            <w:r>
              <w:rPr>
                <w:sz w:val="21"/>
                <w:szCs w:val="21"/>
              </w:rPr>
              <w:t>.5</w:t>
            </w:r>
          </w:p>
        </w:tc>
        <w:tc>
          <w:tcPr>
            <w:tcW w:w="1245" w:type="pct"/>
            <w:noWrap w:val="0"/>
            <w:vAlign w:val="center"/>
          </w:tcPr>
          <w:p w14:paraId="114162A5">
            <w:pPr>
              <w:rPr>
                <w:sz w:val="21"/>
                <w:szCs w:val="21"/>
              </w:rPr>
            </w:pPr>
            <w:r>
              <w:rPr>
                <w:sz w:val="21"/>
                <w:szCs w:val="21"/>
              </w:rPr>
              <w:t>主动脉自动分割</w:t>
            </w:r>
          </w:p>
        </w:tc>
        <w:tc>
          <w:tcPr>
            <w:tcW w:w="3241" w:type="pct"/>
            <w:noWrap w:val="0"/>
            <w:vAlign w:val="center"/>
          </w:tcPr>
          <w:p w14:paraId="1010F0F3">
            <w:pPr>
              <w:rPr>
                <w:sz w:val="21"/>
                <w:szCs w:val="21"/>
              </w:rPr>
            </w:pPr>
            <w:r>
              <w:rPr>
                <w:sz w:val="21"/>
                <w:szCs w:val="21"/>
              </w:rPr>
              <w:t>系统支持对主动脉自动分割，支持在MPR图像中显示主动脉分割区域mask标记</w:t>
            </w:r>
          </w:p>
        </w:tc>
      </w:tr>
      <w:tr w14:paraId="7C186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DDBB15F">
            <w:pPr>
              <w:rPr>
                <w:sz w:val="21"/>
                <w:szCs w:val="21"/>
              </w:rPr>
            </w:pPr>
            <w:r>
              <w:rPr>
                <w:rFonts w:hint="eastAsia"/>
                <w:sz w:val="21"/>
                <w:szCs w:val="21"/>
                <w:lang w:val="en-US" w:eastAsia="zh-CN"/>
              </w:rPr>
              <w:t>3</w:t>
            </w:r>
            <w:r>
              <w:rPr>
                <w:sz w:val="21"/>
                <w:szCs w:val="21"/>
              </w:rPr>
              <w:t>.6</w:t>
            </w:r>
          </w:p>
        </w:tc>
        <w:tc>
          <w:tcPr>
            <w:tcW w:w="1245" w:type="pct"/>
            <w:noWrap w:val="0"/>
            <w:vAlign w:val="center"/>
          </w:tcPr>
          <w:p w14:paraId="74481666">
            <w:pPr>
              <w:rPr>
                <w:sz w:val="21"/>
                <w:szCs w:val="21"/>
              </w:rPr>
            </w:pPr>
            <w:r>
              <w:rPr>
                <w:sz w:val="21"/>
                <w:szCs w:val="21"/>
              </w:rPr>
              <w:t>肺静脉自动分割</w:t>
            </w:r>
          </w:p>
        </w:tc>
        <w:tc>
          <w:tcPr>
            <w:tcW w:w="3241" w:type="pct"/>
            <w:noWrap w:val="0"/>
            <w:vAlign w:val="center"/>
          </w:tcPr>
          <w:p w14:paraId="25F273C3">
            <w:pPr>
              <w:rPr>
                <w:sz w:val="21"/>
                <w:szCs w:val="21"/>
              </w:rPr>
            </w:pPr>
            <w:r>
              <w:rPr>
                <w:sz w:val="21"/>
                <w:szCs w:val="21"/>
              </w:rPr>
              <w:t>系统支持自动分割肺静脉</w:t>
            </w:r>
          </w:p>
        </w:tc>
      </w:tr>
      <w:tr w14:paraId="03A85F00">
        <w:tblPrEx>
          <w:tblCellMar>
            <w:top w:w="0" w:type="dxa"/>
            <w:left w:w="108" w:type="dxa"/>
            <w:bottom w:w="0" w:type="dxa"/>
            <w:right w:w="108" w:type="dxa"/>
          </w:tblCellMar>
        </w:tblPrEx>
        <w:trPr>
          <w:trHeight w:val="147" w:hRule="atLeast"/>
          <w:jc w:val="center"/>
        </w:trPr>
        <w:tc>
          <w:tcPr>
            <w:tcW w:w="512" w:type="pct"/>
            <w:noWrap w:val="0"/>
            <w:vAlign w:val="center"/>
          </w:tcPr>
          <w:p w14:paraId="352511C2">
            <w:pPr>
              <w:rPr>
                <w:sz w:val="21"/>
                <w:szCs w:val="21"/>
              </w:rPr>
            </w:pPr>
            <w:r>
              <w:rPr>
                <w:rFonts w:hint="eastAsia"/>
                <w:sz w:val="21"/>
                <w:szCs w:val="21"/>
                <w:lang w:val="en-US" w:eastAsia="zh-CN"/>
              </w:rPr>
              <w:t>3</w:t>
            </w:r>
            <w:r>
              <w:rPr>
                <w:sz w:val="21"/>
                <w:szCs w:val="21"/>
              </w:rPr>
              <w:t>.7</w:t>
            </w:r>
          </w:p>
        </w:tc>
        <w:tc>
          <w:tcPr>
            <w:tcW w:w="1245" w:type="pct"/>
            <w:noWrap w:val="0"/>
            <w:vAlign w:val="center"/>
          </w:tcPr>
          <w:p w14:paraId="16692036">
            <w:pPr>
              <w:rPr>
                <w:sz w:val="21"/>
                <w:szCs w:val="21"/>
              </w:rPr>
            </w:pPr>
            <w:r>
              <w:rPr>
                <w:sz w:val="21"/>
                <w:szCs w:val="21"/>
              </w:rPr>
              <w:t>检测栓子列表</w:t>
            </w:r>
          </w:p>
        </w:tc>
        <w:tc>
          <w:tcPr>
            <w:tcW w:w="3241" w:type="pct"/>
            <w:noWrap w:val="0"/>
            <w:vAlign w:val="center"/>
          </w:tcPr>
          <w:p w14:paraId="0D8E4F05">
            <w:pPr>
              <w:rPr>
                <w:sz w:val="21"/>
                <w:szCs w:val="21"/>
              </w:rPr>
            </w:pPr>
            <w:r>
              <w:rPr>
                <w:sz w:val="21"/>
                <w:szCs w:val="21"/>
              </w:rPr>
              <w:t>支持列表展示栓子检测结果，列表的栓子选中情况与VR图、MPR图、CPR图、SCPR图栓子的选中标记联动</w:t>
            </w:r>
          </w:p>
        </w:tc>
      </w:tr>
      <w:tr w14:paraId="5CA35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752ECA1">
            <w:pPr>
              <w:rPr>
                <w:sz w:val="21"/>
                <w:szCs w:val="21"/>
              </w:rPr>
            </w:pPr>
            <w:r>
              <w:rPr>
                <w:rFonts w:hint="eastAsia"/>
                <w:sz w:val="21"/>
                <w:szCs w:val="21"/>
                <w:lang w:val="en-US" w:eastAsia="zh-CN"/>
              </w:rPr>
              <w:t>3</w:t>
            </w:r>
            <w:r>
              <w:rPr>
                <w:sz w:val="21"/>
                <w:szCs w:val="21"/>
              </w:rPr>
              <w:t>.8</w:t>
            </w:r>
          </w:p>
        </w:tc>
        <w:tc>
          <w:tcPr>
            <w:tcW w:w="1245" w:type="pct"/>
            <w:noWrap w:val="0"/>
            <w:vAlign w:val="center"/>
          </w:tcPr>
          <w:p w14:paraId="6EE2EC60">
            <w:pPr>
              <w:rPr>
                <w:sz w:val="21"/>
                <w:szCs w:val="21"/>
              </w:rPr>
            </w:pPr>
            <w:r>
              <w:rPr>
                <w:sz w:val="21"/>
                <w:szCs w:val="21"/>
              </w:rPr>
              <w:t>栓子编辑</w:t>
            </w:r>
          </w:p>
        </w:tc>
        <w:tc>
          <w:tcPr>
            <w:tcW w:w="3241" w:type="pct"/>
            <w:noWrap w:val="0"/>
            <w:vAlign w:val="center"/>
          </w:tcPr>
          <w:p w14:paraId="7D6FC181">
            <w:pPr>
              <w:rPr>
                <w:sz w:val="21"/>
                <w:szCs w:val="21"/>
              </w:rPr>
            </w:pPr>
            <w:r>
              <w:rPr>
                <w:sz w:val="21"/>
                <w:szCs w:val="21"/>
              </w:rPr>
              <w:t>支持栓子新增和原有栓子编辑擦偶作</w:t>
            </w:r>
          </w:p>
        </w:tc>
      </w:tr>
      <w:tr w14:paraId="11A71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3C8C44CD">
            <w:pPr>
              <w:rPr>
                <w:sz w:val="21"/>
                <w:szCs w:val="21"/>
              </w:rPr>
            </w:pPr>
            <w:r>
              <w:rPr>
                <w:rFonts w:hint="eastAsia"/>
                <w:sz w:val="21"/>
                <w:szCs w:val="21"/>
                <w:lang w:val="en-US" w:eastAsia="zh-CN"/>
              </w:rPr>
              <w:t>3</w:t>
            </w:r>
            <w:r>
              <w:rPr>
                <w:sz w:val="21"/>
                <w:szCs w:val="21"/>
              </w:rPr>
              <w:t>.9</w:t>
            </w:r>
          </w:p>
        </w:tc>
        <w:tc>
          <w:tcPr>
            <w:tcW w:w="1245" w:type="pct"/>
            <w:noWrap w:val="0"/>
            <w:vAlign w:val="center"/>
          </w:tcPr>
          <w:p w14:paraId="35646524">
            <w:pPr>
              <w:rPr>
                <w:sz w:val="21"/>
                <w:szCs w:val="21"/>
              </w:rPr>
            </w:pPr>
            <w:r>
              <w:rPr>
                <w:sz w:val="21"/>
                <w:szCs w:val="21"/>
              </w:rPr>
              <w:t>栓子定位</w:t>
            </w:r>
          </w:p>
        </w:tc>
        <w:tc>
          <w:tcPr>
            <w:tcW w:w="3241" w:type="pct"/>
            <w:noWrap w:val="0"/>
            <w:vAlign w:val="center"/>
          </w:tcPr>
          <w:p w14:paraId="02DD0C4E">
            <w:pPr>
              <w:rPr>
                <w:sz w:val="21"/>
                <w:szCs w:val="21"/>
              </w:rPr>
            </w:pPr>
            <w:r>
              <w:rPr>
                <w:sz w:val="21"/>
                <w:szCs w:val="21"/>
              </w:rPr>
              <w:t>自动给出栓子位置分布信息，精确至段级肺动脉分支</w:t>
            </w:r>
          </w:p>
        </w:tc>
      </w:tr>
      <w:tr w14:paraId="16D69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88E690D">
            <w:pPr>
              <w:rPr>
                <w:sz w:val="21"/>
                <w:szCs w:val="21"/>
              </w:rPr>
            </w:pPr>
            <w:r>
              <w:rPr>
                <w:rFonts w:hint="eastAsia"/>
                <w:sz w:val="21"/>
                <w:szCs w:val="21"/>
                <w:lang w:val="en-US" w:eastAsia="zh-CN"/>
              </w:rPr>
              <w:t>3</w:t>
            </w:r>
            <w:r>
              <w:rPr>
                <w:sz w:val="21"/>
                <w:szCs w:val="21"/>
              </w:rPr>
              <w:t>.10</w:t>
            </w:r>
          </w:p>
        </w:tc>
        <w:tc>
          <w:tcPr>
            <w:tcW w:w="1245" w:type="pct"/>
            <w:noWrap w:val="0"/>
            <w:vAlign w:val="center"/>
          </w:tcPr>
          <w:p w14:paraId="5E3A4D84">
            <w:pPr>
              <w:rPr>
                <w:sz w:val="21"/>
                <w:szCs w:val="21"/>
              </w:rPr>
            </w:pPr>
            <w:r>
              <w:rPr>
                <w:sz w:val="21"/>
                <w:szCs w:val="21"/>
              </w:rPr>
              <w:t>栓子位置编辑</w:t>
            </w:r>
          </w:p>
        </w:tc>
        <w:tc>
          <w:tcPr>
            <w:tcW w:w="3241" w:type="pct"/>
            <w:noWrap w:val="0"/>
            <w:vAlign w:val="center"/>
          </w:tcPr>
          <w:p w14:paraId="7AAAA2C1">
            <w:pPr>
              <w:rPr>
                <w:sz w:val="21"/>
                <w:szCs w:val="21"/>
              </w:rPr>
            </w:pPr>
            <w:r>
              <w:rPr>
                <w:sz w:val="21"/>
                <w:szCs w:val="21"/>
              </w:rPr>
              <w:t>系统对栓子分布位置进行编辑修改</w:t>
            </w:r>
          </w:p>
        </w:tc>
      </w:tr>
      <w:tr w14:paraId="3C1F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03E8C82E">
            <w:pPr>
              <w:rPr>
                <w:sz w:val="21"/>
                <w:szCs w:val="21"/>
              </w:rPr>
            </w:pPr>
            <w:r>
              <w:rPr>
                <w:rFonts w:hint="eastAsia"/>
                <w:sz w:val="21"/>
                <w:szCs w:val="21"/>
                <w:lang w:val="en-US" w:eastAsia="zh-CN"/>
              </w:rPr>
              <w:t>3</w:t>
            </w:r>
            <w:r>
              <w:rPr>
                <w:sz w:val="21"/>
                <w:szCs w:val="21"/>
              </w:rPr>
              <w:t>.11</w:t>
            </w:r>
          </w:p>
        </w:tc>
        <w:tc>
          <w:tcPr>
            <w:tcW w:w="1245" w:type="pct"/>
            <w:noWrap w:val="0"/>
            <w:vAlign w:val="center"/>
          </w:tcPr>
          <w:p w14:paraId="4AEE5EE3">
            <w:pPr>
              <w:rPr>
                <w:sz w:val="21"/>
                <w:szCs w:val="21"/>
              </w:rPr>
            </w:pPr>
            <w:r>
              <w:rPr>
                <w:sz w:val="21"/>
                <w:szCs w:val="21"/>
              </w:rPr>
              <w:t>栓子删除</w:t>
            </w:r>
          </w:p>
        </w:tc>
        <w:tc>
          <w:tcPr>
            <w:tcW w:w="3241" w:type="pct"/>
            <w:noWrap w:val="0"/>
            <w:vAlign w:val="center"/>
          </w:tcPr>
          <w:p w14:paraId="04FACBA1">
            <w:pPr>
              <w:rPr>
                <w:sz w:val="21"/>
                <w:szCs w:val="21"/>
              </w:rPr>
            </w:pPr>
            <w:r>
              <w:rPr>
                <w:sz w:val="21"/>
                <w:szCs w:val="21"/>
              </w:rPr>
              <w:t>支持单个或批量删除列表中的栓子</w:t>
            </w:r>
          </w:p>
        </w:tc>
      </w:tr>
      <w:tr w14:paraId="606B6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1FC3D28">
            <w:pPr>
              <w:rPr>
                <w:sz w:val="21"/>
                <w:szCs w:val="21"/>
              </w:rPr>
            </w:pPr>
            <w:r>
              <w:rPr>
                <w:rFonts w:hint="eastAsia"/>
                <w:sz w:val="21"/>
                <w:szCs w:val="21"/>
                <w:lang w:val="en-US" w:eastAsia="zh-CN"/>
              </w:rPr>
              <w:t>3</w:t>
            </w:r>
            <w:r>
              <w:rPr>
                <w:sz w:val="21"/>
                <w:szCs w:val="21"/>
              </w:rPr>
              <w:t>.12</w:t>
            </w:r>
          </w:p>
        </w:tc>
        <w:tc>
          <w:tcPr>
            <w:tcW w:w="1245" w:type="pct"/>
            <w:noWrap w:val="0"/>
            <w:vAlign w:val="center"/>
          </w:tcPr>
          <w:p w14:paraId="6960CB70">
            <w:pPr>
              <w:rPr>
                <w:sz w:val="21"/>
                <w:szCs w:val="21"/>
              </w:rPr>
            </w:pPr>
            <w:r>
              <w:rPr>
                <w:sz w:val="21"/>
                <w:szCs w:val="21"/>
              </w:rPr>
              <w:t>栓子体积测量</w:t>
            </w:r>
          </w:p>
        </w:tc>
        <w:tc>
          <w:tcPr>
            <w:tcW w:w="3241" w:type="pct"/>
            <w:noWrap w:val="0"/>
            <w:vAlign w:val="center"/>
          </w:tcPr>
          <w:p w14:paraId="40F276C7">
            <w:pPr>
              <w:rPr>
                <w:sz w:val="21"/>
                <w:szCs w:val="21"/>
              </w:rPr>
            </w:pPr>
            <w:r>
              <w:rPr>
                <w:sz w:val="21"/>
                <w:szCs w:val="21"/>
              </w:rPr>
              <w:t>自动测量栓子体积并显示</w:t>
            </w:r>
          </w:p>
        </w:tc>
      </w:tr>
      <w:tr w14:paraId="45617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2B23320">
            <w:pPr>
              <w:rPr>
                <w:sz w:val="21"/>
                <w:szCs w:val="21"/>
              </w:rPr>
            </w:pPr>
            <w:r>
              <w:rPr>
                <w:rFonts w:hint="eastAsia"/>
                <w:sz w:val="21"/>
                <w:szCs w:val="21"/>
                <w:lang w:val="en-US" w:eastAsia="zh-CN"/>
              </w:rPr>
              <w:t>3</w:t>
            </w:r>
            <w:r>
              <w:rPr>
                <w:sz w:val="21"/>
                <w:szCs w:val="21"/>
              </w:rPr>
              <w:t>.13</w:t>
            </w:r>
          </w:p>
        </w:tc>
        <w:tc>
          <w:tcPr>
            <w:tcW w:w="1245" w:type="pct"/>
            <w:noWrap w:val="0"/>
            <w:vAlign w:val="center"/>
          </w:tcPr>
          <w:p w14:paraId="53D9363E">
            <w:pPr>
              <w:rPr>
                <w:sz w:val="21"/>
                <w:szCs w:val="21"/>
              </w:rPr>
            </w:pPr>
            <w:r>
              <w:rPr>
                <w:sz w:val="21"/>
                <w:szCs w:val="21"/>
              </w:rPr>
              <w:t>完全闭塞分支定位</w:t>
            </w:r>
          </w:p>
        </w:tc>
        <w:tc>
          <w:tcPr>
            <w:tcW w:w="3241" w:type="pct"/>
            <w:noWrap w:val="0"/>
            <w:vAlign w:val="center"/>
          </w:tcPr>
          <w:p w14:paraId="02CE8AC2">
            <w:pPr>
              <w:rPr>
                <w:sz w:val="21"/>
                <w:szCs w:val="21"/>
              </w:rPr>
            </w:pPr>
            <w:r>
              <w:rPr>
                <w:sz w:val="21"/>
                <w:szCs w:val="21"/>
              </w:rPr>
              <w:t>自动检测完全闭塞肺动脉分支位置并给出提示</w:t>
            </w:r>
          </w:p>
        </w:tc>
      </w:tr>
      <w:tr w14:paraId="485A7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11FF8A2F">
            <w:pPr>
              <w:rPr>
                <w:sz w:val="21"/>
                <w:szCs w:val="21"/>
              </w:rPr>
            </w:pPr>
            <w:r>
              <w:rPr>
                <w:rFonts w:hint="eastAsia"/>
                <w:sz w:val="21"/>
                <w:szCs w:val="21"/>
                <w:lang w:val="en-US" w:eastAsia="zh-CN"/>
              </w:rPr>
              <w:t>3</w:t>
            </w:r>
            <w:r>
              <w:rPr>
                <w:sz w:val="21"/>
                <w:szCs w:val="21"/>
              </w:rPr>
              <w:t>.14</w:t>
            </w:r>
          </w:p>
        </w:tc>
        <w:tc>
          <w:tcPr>
            <w:tcW w:w="1245" w:type="pct"/>
            <w:noWrap w:val="0"/>
            <w:vAlign w:val="center"/>
          </w:tcPr>
          <w:p w14:paraId="5A8448C7">
            <w:pPr>
              <w:rPr>
                <w:sz w:val="21"/>
                <w:szCs w:val="21"/>
              </w:rPr>
            </w:pPr>
            <w:r>
              <w:rPr>
                <w:sz w:val="21"/>
                <w:szCs w:val="21"/>
              </w:rPr>
              <w:t>栓子排序</w:t>
            </w:r>
          </w:p>
        </w:tc>
        <w:tc>
          <w:tcPr>
            <w:tcW w:w="3241" w:type="pct"/>
            <w:noWrap w:val="0"/>
            <w:vAlign w:val="center"/>
          </w:tcPr>
          <w:p w14:paraId="1B496A5A">
            <w:pPr>
              <w:rPr>
                <w:sz w:val="21"/>
                <w:szCs w:val="21"/>
              </w:rPr>
            </w:pPr>
            <w:r>
              <w:rPr>
                <w:sz w:val="21"/>
                <w:szCs w:val="21"/>
              </w:rPr>
              <w:t>系统可以根据栓子所在的位置和栓子体积大小进行排序展示</w:t>
            </w:r>
          </w:p>
        </w:tc>
      </w:tr>
      <w:tr w14:paraId="59164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E3627E3">
            <w:pPr>
              <w:rPr>
                <w:sz w:val="21"/>
                <w:szCs w:val="21"/>
              </w:rPr>
            </w:pPr>
            <w:r>
              <w:rPr>
                <w:rFonts w:hint="eastAsia"/>
                <w:sz w:val="21"/>
                <w:szCs w:val="21"/>
                <w:lang w:val="en-US" w:eastAsia="zh-CN"/>
              </w:rPr>
              <w:t>3</w:t>
            </w:r>
            <w:r>
              <w:rPr>
                <w:sz w:val="21"/>
                <w:szCs w:val="21"/>
              </w:rPr>
              <w:t>.15</w:t>
            </w:r>
          </w:p>
        </w:tc>
        <w:tc>
          <w:tcPr>
            <w:tcW w:w="1245" w:type="pct"/>
            <w:noWrap w:val="0"/>
            <w:vAlign w:val="center"/>
          </w:tcPr>
          <w:p w14:paraId="0BD802D6">
            <w:pPr>
              <w:rPr>
                <w:sz w:val="21"/>
                <w:szCs w:val="21"/>
              </w:rPr>
            </w:pPr>
            <w:r>
              <w:rPr>
                <w:sz w:val="21"/>
                <w:szCs w:val="21"/>
              </w:rPr>
              <w:t>栓子位置筛选</w:t>
            </w:r>
          </w:p>
        </w:tc>
        <w:tc>
          <w:tcPr>
            <w:tcW w:w="3241" w:type="pct"/>
            <w:noWrap w:val="0"/>
            <w:vAlign w:val="center"/>
          </w:tcPr>
          <w:p w14:paraId="251DCB49">
            <w:pPr>
              <w:rPr>
                <w:sz w:val="21"/>
                <w:szCs w:val="21"/>
              </w:rPr>
            </w:pPr>
            <w:r>
              <w:rPr>
                <w:sz w:val="21"/>
                <w:szCs w:val="21"/>
              </w:rPr>
              <w:t>系统可以根据栓子所在位置进行筛选展示</w:t>
            </w:r>
          </w:p>
        </w:tc>
      </w:tr>
      <w:tr w14:paraId="43A1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1BA94D57">
            <w:pPr>
              <w:rPr>
                <w:sz w:val="21"/>
                <w:szCs w:val="21"/>
              </w:rPr>
            </w:pPr>
            <w:r>
              <w:rPr>
                <w:rFonts w:hint="eastAsia"/>
                <w:sz w:val="21"/>
                <w:szCs w:val="21"/>
                <w:lang w:val="en-US" w:eastAsia="zh-CN"/>
              </w:rPr>
              <w:t>3</w:t>
            </w:r>
            <w:r>
              <w:rPr>
                <w:sz w:val="21"/>
                <w:szCs w:val="21"/>
              </w:rPr>
              <w:t>.16</w:t>
            </w:r>
          </w:p>
        </w:tc>
        <w:tc>
          <w:tcPr>
            <w:tcW w:w="1245" w:type="pct"/>
            <w:noWrap w:val="0"/>
            <w:vAlign w:val="center"/>
          </w:tcPr>
          <w:p w14:paraId="0E868E27">
            <w:pPr>
              <w:rPr>
                <w:sz w:val="21"/>
                <w:szCs w:val="21"/>
              </w:rPr>
            </w:pPr>
            <w:r>
              <w:rPr>
                <w:sz w:val="21"/>
                <w:szCs w:val="21"/>
              </w:rPr>
              <w:t>栓子VR重建</w:t>
            </w:r>
          </w:p>
        </w:tc>
        <w:tc>
          <w:tcPr>
            <w:tcW w:w="3241" w:type="pct"/>
            <w:noWrap w:val="0"/>
            <w:vAlign w:val="center"/>
          </w:tcPr>
          <w:p w14:paraId="0968A043">
            <w:pPr>
              <w:rPr>
                <w:sz w:val="21"/>
                <w:szCs w:val="21"/>
              </w:rPr>
            </w:pPr>
            <w:r>
              <w:rPr>
                <w:sz w:val="21"/>
                <w:szCs w:val="21"/>
              </w:rPr>
              <w:t>系统支持栓子VR重建及显示，可显示/隐藏栓子VR图像</w:t>
            </w:r>
          </w:p>
        </w:tc>
      </w:tr>
      <w:tr w14:paraId="15120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EAEFC3F">
            <w:pPr>
              <w:rPr>
                <w:sz w:val="21"/>
                <w:szCs w:val="21"/>
              </w:rPr>
            </w:pPr>
            <w:r>
              <w:rPr>
                <w:rFonts w:hint="eastAsia"/>
                <w:sz w:val="21"/>
                <w:szCs w:val="21"/>
                <w:lang w:val="en-US" w:eastAsia="zh-CN"/>
              </w:rPr>
              <w:t>3</w:t>
            </w:r>
            <w:r>
              <w:rPr>
                <w:sz w:val="21"/>
                <w:szCs w:val="21"/>
              </w:rPr>
              <w:t>.17</w:t>
            </w:r>
          </w:p>
        </w:tc>
        <w:tc>
          <w:tcPr>
            <w:tcW w:w="1245" w:type="pct"/>
            <w:noWrap w:val="0"/>
            <w:vAlign w:val="center"/>
          </w:tcPr>
          <w:p w14:paraId="42A0A741">
            <w:pPr>
              <w:rPr>
                <w:sz w:val="21"/>
                <w:szCs w:val="21"/>
              </w:rPr>
            </w:pPr>
            <w:r>
              <w:rPr>
                <w:sz w:val="21"/>
                <w:szCs w:val="21"/>
              </w:rPr>
              <w:t>肺静脉VR重建</w:t>
            </w:r>
          </w:p>
        </w:tc>
        <w:tc>
          <w:tcPr>
            <w:tcW w:w="3241" w:type="pct"/>
            <w:noWrap w:val="0"/>
            <w:vAlign w:val="center"/>
          </w:tcPr>
          <w:p w14:paraId="4BD3038A">
            <w:pPr>
              <w:rPr>
                <w:sz w:val="21"/>
                <w:szCs w:val="21"/>
              </w:rPr>
            </w:pPr>
            <w:r>
              <w:rPr>
                <w:sz w:val="21"/>
                <w:szCs w:val="21"/>
              </w:rPr>
              <w:t>系统支持肺静脉VR重建及显示，可显示/隐藏肺静脉VR图像</w:t>
            </w:r>
          </w:p>
        </w:tc>
      </w:tr>
      <w:tr w14:paraId="3895A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33E1AB6E">
            <w:pPr>
              <w:rPr>
                <w:sz w:val="21"/>
                <w:szCs w:val="21"/>
              </w:rPr>
            </w:pPr>
            <w:r>
              <w:rPr>
                <w:rFonts w:hint="eastAsia"/>
                <w:sz w:val="21"/>
                <w:szCs w:val="21"/>
                <w:lang w:val="en-US" w:eastAsia="zh-CN"/>
              </w:rPr>
              <w:t>3</w:t>
            </w:r>
            <w:r>
              <w:rPr>
                <w:sz w:val="21"/>
                <w:szCs w:val="21"/>
              </w:rPr>
              <w:t>.18</w:t>
            </w:r>
          </w:p>
        </w:tc>
        <w:tc>
          <w:tcPr>
            <w:tcW w:w="1245" w:type="pct"/>
            <w:noWrap w:val="0"/>
            <w:vAlign w:val="center"/>
          </w:tcPr>
          <w:p w14:paraId="072A0282">
            <w:pPr>
              <w:rPr>
                <w:sz w:val="21"/>
                <w:szCs w:val="21"/>
              </w:rPr>
            </w:pPr>
            <w:r>
              <w:rPr>
                <w:sz w:val="21"/>
                <w:szCs w:val="21"/>
              </w:rPr>
              <w:t>VR图默认角度配置</w:t>
            </w:r>
          </w:p>
        </w:tc>
        <w:tc>
          <w:tcPr>
            <w:tcW w:w="3241" w:type="pct"/>
            <w:noWrap w:val="0"/>
            <w:vAlign w:val="center"/>
          </w:tcPr>
          <w:p w14:paraId="4EC1E29C">
            <w:pPr>
              <w:rPr>
                <w:sz w:val="21"/>
                <w:szCs w:val="21"/>
              </w:rPr>
            </w:pPr>
            <w:r>
              <w:rPr>
                <w:sz w:val="21"/>
                <w:szCs w:val="21"/>
              </w:rPr>
              <w:t>支持自定义配置VR图的默认显示角度</w:t>
            </w:r>
          </w:p>
        </w:tc>
      </w:tr>
      <w:tr w14:paraId="0A6B8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4B0FF706">
            <w:pPr>
              <w:rPr>
                <w:sz w:val="21"/>
                <w:szCs w:val="21"/>
              </w:rPr>
            </w:pPr>
            <w:r>
              <w:rPr>
                <w:rFonts w:hint="eastAsia"/>
                <w:sz w:val="21"/>
                <w:szCs w:val="21"/>
                <w:lang w:val="en-US" w:eastAsia="zh-CN"/>
              </w:rPr>
              <w:t>3</w:t>
            </w:r>
            <w:r>
              <w:rPr>
                <w:sz w:val="21"/>
                <w:szCs w:val="21"/>
              </w:rPr>
              <w:t>.19</w:t>
            </w:r>
          </w:p>
        </w:tc>
        <w:tc>
          <w:tcPr>
            <w:tcW w:w="1245" w:type="pct"/>
            <w:noWrap w:val="0"/>
            <w:vAlign w:val="center"/>
          </w:tcPr>
          <w:p w14:paraId="6ECB2F50">
            <w:pPr>
              <w:rPr>
                <w:sz w:val="21"/>
                <w:szCs w:val="21"/>
              </w:rPr>
            </w:pPr>
            <w:r>
              <w:rPr>
                <w:sz w:val="21"/>
                <w:szCs w:val="21"/>
              </w:rPr>
              <w:t>VR裁剪功能</w:t>
            </w:r>
          </w:p>
        </w:tc>
        <w:tc>
          <w:tcPr>
            <w:tcW w:w="3241" w:type="pct"/>
            <w:noWrap w:val="0"/>
            <w:vAlign w:val="center"/>
          </w:tcPr>
          <w:p w14:paraId="7E72DA7F">
            <w:pPr>
              <w:rPr>
                <w:sz w:val="21"/>
                <w:szCs w:val="21"/>
              </w:rPr>
            </w:pPr>
            <w:r>
              <w:rPr>
                <w:sz w:val="21"/>
                <w:szCs w:val="21"/>
              </w:rPr>
              <w:t>提供VR裁剪功能，可在VR图上任意裁剪肺动脉、肺静脉、栓子</w:t>
            </w:r>
          </w:p>
        </w:tc>
      </w:tr>
      <w:tr w14:paraId="50D32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694165C9">
            <w:pPr>
              <w:rPr>
                <w:sz w:val="21"/>
                <w:szCs w:val="21"/>
              </w:rPr>
            </w:pPr>
            <w:r>
              <w:rPr>
                <w:rFonts w:hint="eastAsia"/>
                <w:sz w:val="21"/>
                <w:szCs w:val="21"/>
                <w:lang w:val="en-US" w:eastAsia="zh-CN"/>
              </w:rPr>
              <w:t>3</w:t>
            </w:r>
            <w:r>
              <w:rPr>
                <w:sz w:val="21"/>
                <w:szCs w:val="21"/>
              </w:rPr>
              <w:t>.20</w:t>
            </w:r>
          </w:p>
        </w:tc>
        <w:tc>
          <w:tcPr>
            <w:tcW w:w="1245" w:type="pct"/>
            <w:noWrap w:val="0"/>
            <w:vAlign w:val="center"/>
          </w:tcPr>
          <w:p w14:paraId="03966F6C">
            <w:pPr>
              <w:rPr>
                <w:sz w:val="21"/>
                <w:szCs w:val="21"/>
              </w:rPr>
            </w:pPr>
            <w:r>
              <w:rPr>
                <w:sz w:val="21"/>
                <w:szCs w:val="21"/>
              </w:rPr>
              <w:t>VR裁剪操作及结果更新</w:t>
            </w:r>
          </w:p>
        </w:tc>
        <w:tc>
          <w:tcPr>
            <w:tcW w:w="3241" w:type="pct"/>
            <w:noWrap w:val="0"/>
            <w:vAlign w:val="center"/>
          </w:tcPr>
          <w:p w14:paraId="0067724C">
            <w:pPr>
              <w:rPr>
                <w:sz w:val="21"/>
                <w:szCs w:val="21"/>
              </w:rPr>
            </w:pPr>
            <w:r>
              <w:rPr>
                <w:sz w:val="21"/>
                <w:szCs w:val="21"/>
              </w:rPr>
              <w:t>支持裁剪过程中的撤销、返回和重置操作；提供VR裁剪的同步功能，裁剪后，归档／打印预览中VR图、MIP图同步更新</w:t>
            </w:r>
          </w:p>
        </w:tc>
      </w:tr>
      <w:tr w14:paraId="2593F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E44F573">
            <w:pPr>
              <w:rPr>
                <w:sz w:val="21"/>
                <w:szCs w:val="21"/>
              </w:rPr>
            </w:pPr>
            <w:r>
              <w:rPr>
                <w:rFonts w:hint="eastAsia"/>
                <w:sz w:val="21"/>
                <w:szCs w:val="21"/>
                <w:lang w:val="en-US" w:eastAsia="zh-CN"/>
              </w:rPr>
              <w:t>3</w:t>
            </w:r>
            <w:r>
              <w:rPr>
                <w:sz w:val="21"/>
                <w:szCs w:val="21"/>
              </w:rPr>
              <w:t>.21</w:t>
            </w:r>
          </w:p>
        </w:tc>
        <w:tc>
          <w:tcPr>
            <w:tcW w:w="1245" w:type="pct"/>
            <w:noWrap w:val="0"/>
            <w:vAlign w:val="center"/>
          </w:tcPr>
          <w:p w14:paraId="045EBF3D">
            <w:pPr>
              <w:rPr>
                <w:sz w:val="21"/>
                <w:szCs w:val="21"/>
              </w:rPr>
            </w:pPr>
            <w:r>
              <w:rPr>
                <w:sz w:val="21"/>
                <w:szCs w:val="21"/>
              </w:rPr>
              <w:t>CPR图显示</w:t>
            </w:r>
          </w:p>
        </w:tc>
        <w:tc>
          <w:tcPr>
            <w:tcW w:w="3241" w:type="pct"/>
            <w:noWrap w:val="0"/>
            <w:vAlign w:val="center"/>
          </w:tcPr>
          <w:p w14:paraId="19720128">
            <w:pPr>
              <w:rPr>
                <w:sz w:val="21"/>
                <w:szCs w:val="21"/>
              </w:rPr>
            </w:pPr>
            <w:r>
              <w:rPr>
                <w:sz w:val="21"/>
                <w:szCs w:val="21"/>
              </w:rPr>
              <w:t>支持叶级肺动脉分支以及所有阳性肺动脉分支CPR图显示，并可360°旋转，支持旋转角度显示</w:t>
            </w:r>
          </w:p>
        </w:tc>
      </w:tr>
      <w:tr w14:paraId="5E09D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4CBE1A46">
            <w:pPr>
              <w:rPr>
                <w:sz w:val="21"/>
                <w:szCs w:val="21"/>
              </w:rPr>
            </w:pPr>
            <w:r>
              <w:rPr>
                <w:rFonts w:hint="eastAsia"/>
                <w:sz w:val="21"/>
                <w:szCs w:val="21"/>
                <w:lang w:val="en-US" w:eastAsia="zh-CN"/>
              </w:rPr>
              <w:t>3</w:t>
            </w:r>
            <w:r>
              <w:rPr>
                <w:sz w:val="21"/>
                <w:szCs w:val="21"/>
              </w:rPr>
              <w:t>.22</w:t>
            </w:r>
          </w:p>
        </w:tc>
        <w:tc>
          <w:tcPr>
            <w:tcW w:w="1245" w:type="pct"/>
            <w:noWrap w:val="0"/>
            <w:vAlign w:val="center"/>
          </w:tcPr>
          <w:p w14:paraId="35DE5941">
            <w:pPr>
              <w:rPr>
                <w:sz w:val="21"/>
                <w:szCs w:val="21"/>
              </w:rPr>
            </w:pPr>
            <w:r>
              <w:rPr>
                <w:sz w:val="21"/>
                <w:szCs w:val="21"/>
              </w:rPr>
              <w:t>SCPR图显示</w:t>
            </w:r>
          </w:p>
        </w:tc>
        <w:tc>
          <w:tcPr>
            <w:tcW w:w="3241" w:type="pct"/>
            <w:noWrap w:val="0"/>
            <w:vAlign w:val="center"/>
          </w:tcPr>
          <w:p w14:paraId="30101282">
            <w:pPr>
              <w:rPr>
                <w:sz w:val="21"/>
                <w:szCs w:val="21"/>
              </w:rPr>
            </w:pPr>
            <w:r>
              <w:rPr>
                <w:sz w:val="21"/>
                <w:szCs w:val="21"/>
              </w:rPr>
              <w:t>支持叶级肺动脉分支以及所有阳性肺动脉分支SCPR图显示，并可360°旋转，支持旋转角度显示</w:t>
            </w:r>
          </w:p>
        </w:tc>
      </w:tr>
      <w:tr w14:paraId="6C9B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428B3A6">
            <w:pPr>
              <w:rPr>
                <w:sz w:val="21"/>
                <w:szCs w:val="21"/>
              </w:rPr>
            </w:pPr>
            <w:r>
              <w:rPr>
                <w:rFonts w:hint="eastAsia"/>
                <w:sz w:val="21"/>
                <w:szCs w:val="21"/>
                <w:lang w:val="en-US" w:eastAsia="zh-CN"/>
              </w:rPr>
              <w:t>3</w:t>
            </w:r>
            <w:r>
              <w:rPr>
                <w:sz w:val="21"/>
                <w:szCs w:val="21"/>
              </w:rPr>
              <w:t>.23</w:t>
            </w:r>
          </w:p>
        </w:tc>
        <w:tc>
          <w:tcPr>
            <w:tcW w:w="1245" w:type="pct"/>
            <w:noWrap w:val="0"/>
            <w:vAlign w:val="center"/>
          </w:tcPr>
          <w:p w14:paraId="79504392">
            <w:pPr>
              <w:rPr>
                <w:sz w:val="21"/>
                <w:szCs w:val="21"/>
              </w:rPr>
            </w:pPr>
            <w:r>
              <w:rPr>
                <w:sz w:val="21"/>
                <w:szCs w:val="21"/>
              </w:rPr>
              <w:t>探针图显示</w:t>
            </w:r>
          </w:p>
        </w:tc>
        <w:tc>
          <w:tcPr>
            <w:tcW w:w="3241" w:type="pct"/>
            <w:noWrap w:val="0"/>
            <w:vAlign w:val="center"/>
          </w:tcPr>
          <w:p w14:paraId="45192671">
            <w:pPr>
              <w:rPr>
                <w:sz w:val="21"/>
                <w:szCs w:val="21"/>
              </w:rPr>
            </w:pPr>
            <w:r>
              <w:rPr>
                <w:sz w:val="21"/>
                <w:szCs w:val="21"/>
              </w:rPr>
              <w:t>支持叶级肺动脉分支以及所有阳性肺动脉分支探针图显示</w:t>
            </w:r>
          </w:p>
        </w:tc>
      </w:tr>
      <w:tr w14:paraId="36D7A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121F5202">
            <w:pPr>
              <w:rPr>
                <w:sz w:val="21"/>
                <w:szCs w:val="21"/>
              </w:rPr>
            </w:pPr>
            <w:r>
              <w:rPr>
                <w:rFonts w:hint="eastAsia"/>
                <w:sz w:val="21"/>
                <w:szCs w:val="21"/>
                <w:lang w:val="en-US" w:eastAsia="zh-CN"/>
              </w:rPr>
              <w:t>3</w:t>
            </w:r>
            <w:r>
              <w:rPr>
                <w:sz w:val="21"/>
                <w:szCs w:val="21"/>
              </w:rPr>
              <w:t>.24</w:t>
            </w:r>
          </w:p>
        </w:tc>
        <w:tc>
          <w:tcPr>
            <w:tcW w:w="1245" w:type="pct"/>
            <w:noWrap w:val="0"/>
            <w:vAlign w:val="center"/>
          </w:tcPr>
          <w:p w14:paraId="7CBCCF99">
            <w:pPr>
              <w:rPr>
                <w:sz w:val="21"/>
                <w:szCs w:val="21"/>
              </w:rPr>
            </w:pPr>
            <w:r>
              <w:rPr>
                <w:sz w:val="21"/>
                <w:szCs w:val="21"/>
              </w:rPr>
              <w:t>双向联动功能</w:t>
            </w:r>
          </w:p>
        </w:tc>
        <w:tc>
          <w:tcPr>
            <w:tcW w:w="3241" w:type="pct"/>
            <w:noWrap w:val="0"/>
            <w:vAlign w:val="center"/>
          </w:tcPr>
          <w:p w14:paraId="3F07F3FA">
            <w:pPr>
              <w:rPr>
                <w:sz w:val="21"/>
                <w:szCs w:val="21"/>
              </w:rPr>
            </w:pPr>
            <w:r>
              <w:rPr>
                <w:sz w:val="21"/>
                <w:szCs w:val="21"/>
              </w:rPr>
              <w:t>VR图、MIP图、CPR图和SCPR图定位线位置变化联动，且对应横断位视图定位标记和探针图同步改变，自动对应；横断位视图定位标记追踪血管轨迹时，VR图、MIP图、CPR图和SCPR图的血管段定位线同步滑动</w:t>
            </w:r>
          </w:p>
        </w:tc>
      </w:tr>
      <w:tr w14:paraId="74E56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36CA0C2E">
            <w:pPr>
              <w:rPr>
                <w:sz w:val="21"/>
                <w:szCs w:val="21"/>
              </w:rPr>
            </w:pPr>
            <w:r>
              <w:rPr>
                <w:rFonts w:hint="eastAsia"/>
                <w:sz w:val="21"/>
                <w:szCs w:val="21"/>
                <w:lang w:val="en-US" w:eastAsia="zh-CN"/>
              </w:rPr>
              <w:t>3</w:t>
            </w:r>
            <w:r>
              <w:rPr>
                <w:sz w:val="21"/>
                <w:szCs w:val="21"/>
              </w:rPr>
              <w:t>.25</w:t>
            </w:r>
          </w:p>
        </w:tc>
        <w:tc>
          <w:tcPr>
            <w:tcW w:w="1245" w:type="pct"/>
            <w:noWrap w:val="0"/>
            <w:vAlign w:val="center"/>
          </w:tcPr>
          <w:p w14:paraId="7E9236D3">
            <w:pPr>
              <w:rPr>
                <w:sz w:val="21"/>
                <w:szCs w:val="21"/>
              </w:rPr>
            </w:pPr>
            <w:r>
              <w:rPr>
                <w:sz w:val="21"/>
                <w:szCs w:val="21"/>
              </w:rPr>
              <w:t>血管导航列表</w:t>
            </w:r>
          </w:p>
        </w:tc>
        <w:tc>
          <w:tcPr>
            <w:tcW w:w="3241" w:type="pct"/>
            <w:noWrap w:val="0"/>
            <w:vAlign w:val="center"/>
          </w:tcPr>
          <w:p w14:paraId="396E4E82">
            <w:pPr>
              <w:rPr>
                <w:sz w:val="21"/>
                <w:szCs w:val="21"/>
              </w:rPr>
            </w:pPr>
            <w:r>
              <w:rPr>
                <w:sz w:val="21"/>
                <w:szCs w:val="21"/>
              </w:rPr>
              <w:t>显示叶级肺动脉分支血管名，一键快捷切换查看</w:t>
            </w:r>
          </w:p>
        </w:tc>
      </w:tr>
      <w:tr w14:paraId="3F1B3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0C09A705">
            <w:pPr>
              <w:rPr>
                <w:sz w:val="21"/>
                <w:szCs w:val="21"/>
              </w:rPr>
            </w:pPr>
            <w:r>
              <w:rPr>
                <w:rFonts w:hint="eastAsia"/>
                <w:sz w:val="21"/>
                <w:szCs w:val="21"/>
                <w:lang w:val="en-US" w:eastAsia="zh-CN"/>
              </w:rPr>
              <w:t>3</w:t>
            </w:r>
            <w:r>
              <w:rPr>
                <w:sz w:val="21"/>
                <w:szCs w:val="21"/>
              </w:rPr>
              <w:t>.26</w:t>
            </w:r>
          </w:p>
        </w:tc>
        <w:tc>
          <w:tcPr>
            <w:tcW w:w="1245" w:type="pct"/>
            <w:noWrap w:val="0"/>
            <w:vAlign w:val="center"/>
          </w:tcPr>
          <w:p w14:paraId="0D1D01F1">
            <w:pPr>
              <w:rPr>
                <w:sz w:val="21"/>
                <w:szCs w:val="21"/>
              </w:rPr>
            </w:pPr>
            <w:r>
              <w:rPr>
                <w:sz w:val="21"/>
                <w:szCs w:val="21"/>
              </w:rPr>
              <w:t>栓子mask标记</w:t>
            </w:r>
          </w:p>
        </w:tc>
        <w:tc>
          <w:tcPr>
            <w:tcW w:w="3241" w:type="pct"/>
            <w:noWrap w:val="0"/>
            <w:vAlign w:val="center"/>
          </w:tcPr>
          <w:p w14:paraId="0A90C234">
            <w:pPr>
              <w:rPr>
                <w:sz w:val="21"/>
                <w:szCs w:val="21"/>
              </w:rPr>
            </w:pPr>
            <w:r>
              <w:rPr>
                <w:sz w:val="21"/>
                <w:szCs w:val="21"/>
              </w:rPr>
              <w:t>栓子区域在MPR/CPR/SCPR图像中支持用mask进行标识，当前选中栓子和未选中栓子的mask区分颜色显示</w:t>
            </w:r>
          </w:p>
        </w:tc>
      </w:tr>
      <w:tr w14:paraId="65EE5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4F4AB5DE">
            <w:pPr>
              <w:rPr>
                <w:sz w:val="21"/>
                <w:szCs w:val="21"/>
              </w:rPr>
            </w:pPr>
            <w:r>
              <w:rPr>
                <w:rFonts w:hint="eastAsia"/>
                <w:sz w:val="21"/>
                <w:szCs w:val="21"/>
                <w:lang w:val="en-US" w:eastAsia="zh-CN"/>
              </w:rPr>
              <w:t>3</w:t>
            </w:r>
            <w:r>
              <w:rPr>
                <w:sz w:val="21"/>
                <w:szCs w:val="21"/>
              </w:rPr>
              <w:t>.27</w:t>
            </w:r>
          </w:p>
        </w:tc>
        <w:tc>
          <w:tcPr>
            <w:tcW w:w="1245" w:type="pct"/>
            <w:noWrap w:val="0"/>
            <w:vAlign w:val="center"/>
          </w:tcPr>
          <w:p w14:paraId="6DCBCFF8">
            <w:pPr>
              <w:rPr>
                <w:sz w:val="21"/>
                <w:szCs w:val="21"/>
              </w:rPr>
            </w:pPr>
            <w:r>
              <w:rPr>
                <w:sz w:val="21"/>
                <w:szCs w:val="21"/>
              </w:rPr>
              <w:t>栓子轮廓标记</w:t>
            </w:r>
          </w:p>
        </w:tc>
        <w:tc>
          <w:tcPr>
            <w:tcW w:w="3241" w:type="pct"/>
            <w:noWrap w:val="0"/>
            <w:vAlign w:val="center"/>
          </w:tcPr>
          <w:p w14:paraId="406A6F7C">
            <w:pPr>
              <w:rPr>
                <w:sz w:val="21"/>
                <w:szCs w:val="21"/>
              </w:rPr>
            </w:pPr>
            <w:r>
              <w:rPr>
                <w:sz w:val="21"/>
                <w:szCs w:val="21"/>
              </w:rPr>
              <w:t>栓子区域在MPR图像中支持用线条轮廓进行标识</w:t>
            </w:r>
          </w:p>
        </w:tc>
      </w:tr>
      <w:tr w14:paraId="68EE7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71C39E1">
            <w:pPr>
              <w:rPr>
                <w:sz w:val="21"/>
                <w:szCs w:val="21"/>
              </w:rPr>
            </w:pPr>
            <w:r>
              <w:rPr>
                <w:rFonts w:hint="eastAsia"/>
                <w:sz w:val="21"/>
                <w:szCs w:val="21"/>
                <w:lang w:val="en-US" w:eastAsia="zh-CN"/>
              </w:rPr>
              <w:t>3</w:t>
            </w:r>
            <w:r>
              <w:rPr>
                <w:sz w:val="21"/>
                <w:szCs w:val="21"/>
              </w:rPr>
              <w:t>.28</w:t>
            </w:r>
          </w:p>
        </w:tc>
        <w:tc>
          <w:tcPr>
            <w:tcW w:w="1245" w:type="pct"/>
            <w:noWrap w:val="0"/>
            <w:vAlign w:val="center"/>
          </w:tcPr>
          <w:p w14:paraId="1A47CA24">
            <w:pPr>
              <w:rPr>
                <w:sz w:val="21"/>
                <w:szCs w:val="21"/>
              </w:rPr>
            </w:pPr>
            <w:r>
              <w:rPr>
                <w:sz w:val="21"/>
                <w:szCs w:val="21"/>
              </w:rPr>
              <w:t>心室测量和评估</w:t>
            </w:r>
          </w:p>
        </w:tc>
        <w:tc>
          <w:tcPr>
            <w:tcW w:w="3241" w:type="pct"/>
            <w:noWrap w:val="0"/>
            <w:vAlign w:val="center"/>
          </w:tcPr>
          <w:p w14:paraId="66E661DF">
            <w:pPr>
              <w:rPr>
                <w:sz w:val="21"/>
                <w:szCs w:val="21"/>
              </w:rPr>
            </w:pPr>
            <w:r>
              <w:rPr>
                <w:sz w:val="21"/>
                <w:szCs w:val="21"/>
              </w:rPr>
              <w:t>支持自动测量左右心室直径和体积，计算右心室和左心室直径比值和体积比值。支持修改或重新绘制左右心室测量线</w:t>
            </w:r>
          </w:p>
        </w:tc>
      </w:tr>
      <w:tr w14:paraId="7345D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006A787">
            <w:pPr>
              <w:rPr>
                <w:sz w:val="21"/>
                <w:szCs w:val="21"/>
              </w:rPr>
            </w:pPr>
            <w:r>
              <w:rPr>
                <w:rFonts w:hint="eastAsia"/>
                <w:sz w:val="21"/>
                <w:szCs w:val="21"/>
                <w:lang w:val="en-US" w:eastAsia="zh-CN"/>
              </w:rPr>
              <w:t>3</w:t>
            </w:r>
            <w:r>
              <w:rPr>
                <w:sz w:val="21"/>
                <w:szCs w:val="21"/>
              </w:rPr>
              <w:t>.29</w:t>
            </w:r>
          </w:p>
        </w:tc>
        <w:tc>
          <w:tcPr>
            <w:tcW w:w="1245" w:type="pct"/>
            <w:noWrap w:val="0"/>
            <w:vAlign w:val="center"/>
          </w:tcPr>
          <w:p w14:paraId="4034F00A">
            <w:pPr>
              <w:rPr>
                <w:sz w:val="21"/>
                <w:szCs w:val="21"/>
              </w:rPr>
            </w:pPr>
            <w:r>
              <w:rPr>
                <w:sz w:val="21"/>
                <w:szCs w:val="21"/>
              </w:rPr>
              <w:t>血管测量和评估</w:t>
            </w:r>
          </w:p>
        </w:tc>
        <w:tc>
          <w:tcPr>
            <w:tcW w:w="3241" w:type="pct"/>
            <w:noWrap w:val="0"/>
            <w:vAlign w:val="center"/>
          </w:tcPr>
          <w:p w14:paraId="4D7C9513">
            <w:pPr>
              <w:rPr>
                <w:sz w:val="21"/>
                <w:szCs w:val="21"/>
              </w:rPr>
            </w:pPr>
            <w:r>
              <w:rPr>
                <w:sz w:val="21"/>
                <w:szCs w:val="21"/>
              </w:rPr>
              <w:t>支持自动测量主肺动脉和升主动脉直径，计算主肺动脉和升主动脉直径比。支持修改或重新绘制主肺动脉、升主动脉测量线</w:t>
            </w:r>
          </w:p>
        </w:tc>
      </w:tr>
      <w:tr w14:paraId="1D02C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006C530">
            <w:pPr>
              <w:rPr>
                <w:sz w:val="21"/>
                <w:szCs w:val="21"/>
              </w:rPr>
            </w:pPr>
            <w:r>
              <w:rPr>
                <w:rFonts w:hint="eastAsia"/>
                <w:sz w:val="21"/>
                <w:szCs w:val="21"/>
                <w:lang w:val="en-US" w:eastAsia="zh-CN"/>
              </w:rPr>
              <w:t>3</w:t>
            </w:r>
            <w:r>
              <w:rPr>
                <w:sz w:val="21"/>
                <w:szCs w:val="21"/>
              </w:rPr>
              <w:t>.30</w:t>
            </w:r>
          </w:p>
        </w:tc>
        <w:tc>
          <w:tcPr>
            <w:tcW w:w="1245" w:type="pct"/>
            <w:noWrap w:val="0"/>
            <w:vAlign w:val="center"/>
          </w:tcPr>
          <w:p w14:paraId="24557D45">
            <w:pPr>
              <w:rPr>
                <w:sz w:val="21"/>
                <w:szCs w:val="21"/>
              </w:rPr>
            </w:pPr>
            <w:r>
              <w:rPr>
                <w:sz w:val="21"/>
                <w:szCs w:val="21"/>
              </w:rPr>
              <w:t>血栓负荷分数（肺动脉栓塞指数）</w:t>
            </w:r>
          </w:p>
        </w:tc>
        <w:tc>
          <w:tcPr>
            <w:tcW w:w="3241" w:type="pct"/>
            <w:noWrap w:val="0"/>
            <w:vAlign w:val="center"/>
          </w:tcPr>
          <w:p w14:paraId="74D8CF9E">
            <w:pPr>
              <w:rPr>
                <w:sz w:val="21"/>
                <w:szCs w:val="21"/>
              </w:rPr>
            </w:pPr>
            <w:r>
              <w:rPr>
                <w:sz w:val="21"/>
                <w:szCs w:val="21"/>
              </w:rPr>
              <w:t>自动基于栓子分布的肺动脉分支和阻塞程度计算显示血栓负荷分数（肺动脉栓塞指数）</w:t>
            </w:r>
          </w:p>
        </w:tc>
      </w:tr>
      <w:tr w14:paraId="27BBF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C079853">
            <w:pPr>
              <w:rPr>
                <w:sz w:val="21"/>
                <w:szCs w:val="21"/>
              </w:rPr>
            </w:pPr>
            <w:r>
              <w:rPr>
                <w:rFonts w:hint="eastAsia"/>
                <w:sz w:val="21"/>
                <w:szCs w:val="21"/>
                <w:lang w:val="en-US" w:eastAsia="zh-CN"/>
              </w:rPr>
              <w:t>3</w:t>
            </w:r>
            <w:r>
              <w:rPr>
                <w:sz w:val="21"/>
                <w:szCs w:val="21"/>
              </w:rPr>
              <w:t>.31</w:t>
            </w:r>
          </w:p>
        </w:tc>
        <w:tc>
          <w:tcPr>
            <w:tcW w:w="1245" w:type="pct"/>
            <w:noWrap w:val="0"/>
            <w:vAlign w:val="center"/>
          </w:tcPr>
          <w:p w14:paraId="1C6933A1">
            <w:pPr>
              <w:rPr>
                <w:sz w:val="21"/>
                <w:szCs w:val="21"/>
              </w:rPr>
            </w:pPr>
            <w:r>
              <w:rPr>
                <w:sz w:val="21"/>
                <w:szCs w:val="21"/>
              </w:rPr>
              <w:t>归档/打印图像类型选取配置</w:t>
            </w:r>
          </w:p>
        </w:tc>
        <w:tc>
          <w:tcPr>
            <w:tcW w:w="3241" w:type="pct"/>
            <w:noWrap w:val="0"/>
            <w:vAlign w:val="center"/>
          </w:tcPr>
          <w:p w14:paraId="215916EA">
            <w:pPr>
              <w:rPr>
                <w:sz w:val="21"/>
                <w:szCs w:val="21"/>
              </w:rPr>
            </w:pPr>
            <w:r>
              <w:rPr>
                <w:sz w:val="21"/>
                <w:szCs w:val="21"/>
              </w:rPr>
              <w:t>可以根据用户习惯对VR图（肺动静脉）、MIP图、CPR图、SCPR图、组合图、MPR图进行选择配置，支持对图像选取规则，比如旋转角度和图像数量进行设置，支持对序列名称进行自定义设置；支持对横断位、冠状位、矢状位的图像数量、层厚以及层间距进行设置；也支持设置心室测量层面、血管测量层面进行归档/打印</w:t>
            </w:r>
          </w:p>
        </w:tc>
      </w:tr>
      <w:tr w14:paraId="614B0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6C8B0C5">
            <w:pPr>
              <w:rPr>
                <w:sz w:val="21"/>
                <w:szCs w:val="21"/>
              </w:rPr>
            </w:pPr>
            <w:r>
              <w:rPr>
                <w:rFonts w:hint="eastAsia"/>
                <w:sz w:val="21"/>
                <w:szCs w:val="21"/>
                <w:lang w:val="en-US" w:eastAsia="zh-CN"/>
              </w:rPr>
              <w:t>3</w:t>
            </w:r>
            <w:r>
              <w:rPr>
                <w:sz w:val="21"/>
                <w:szCs w:val="21"/>
              </w:rPr>
              <w:t>.32</w:t>
            </w:r>
          </w:p>
        </w:tc>
        <w:tc>
          <w:tcPr>
            <w:tcW w:w="1245" w:type="pct"/>
            <w:noWrap w:val="0"/>
            <w:vAlign w:val="center"/>
          </w:tcPr>
          <w:p w14:paraId="0C8F72C3">
            <w:pPr>
              <w:rPr>
                <w:sz w:val="21"/>
                <w:szCs w:val="21"/>
              </w:rPr>
            </w:pPr>
            <w:r>
              <w:rPr>
                <w:sz w:val="21"/>
                <w:szCs w:val="21"/>
              </w:rPr>
              <w:t>归档预览</w:t>
            </w:r>
          </w:p>
        </w:tc>
        <w:tc>
          <w:tcPr>
            <w:tcW w:w="3241" w:type="pct"/>
            <w:noWrap w:val="0"/>
            <w:vAlign w:val="center"/>
          </w:tcPr>
          <w:p w14:paraId="62047F00">
            <w:pPr>
              <w:rPr>
                <w:sz w:val="21"/>
                <w:szCs w:val="21"/>
              </w:rPr>
            </w:pPr>
            <w:r>
              <w:rPr>
                <w:sz w:val="21"/>
                <w:szCs w:val="21"/>
              </w:rPr>
              <w:t>支持预览归档序列，支持对图像做平移、缩放、调窗、移位、删除、放大查看操作。支持归档预览自动记忆阅片界面窗宽、窗位的修改结果</w:t>
            </w:r>
          </w:p>
        </w:tc>
      </w:tr>
      <w:tr w14:paraId="5A049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69ED5CDD">
            <w:pPr>
              <w:rPr>
                <w:sz w:val="21"/>
                <w:szCs w:val="21"/>
              </w:rPr>
            </w:pPr>
            <w:r>
              <w:rPr>
                <w:rFonts w:hint="eastAsia"/>
                <w:sz w:val="21"/>
                <w:szCs w:val="21"/>
                <w:lang w:val="en-US" w:eastAsia="zh-CN"/>
              </w:rPr>
              <w:t>3</w:t>
            </w:r>
            <w:r>
              <w:rPr>
                <w:sz w:val="21"/>
                <w:szCs w:val="21"/>
              </w:rPr>
              <w:t>.33</w:t>
            </w:r>
          </w:p>
        </w:tc>
        <w:tc>
          <w:tcPr>
            <w:tcW w:w="1245" w:type="pct"/>
            <w:noWrap w:val="0"/>
            <w:vAlign w:val="center"/>
          </w:tcPr>
          <w:p w14:paraId="0E5F8065">
            <w:pPr>
              <w:rPr>
                <w:sz w:val="21"/>
                <w:szCs w:val="21"/>
              </w:rPr>
            </w:pPr>
            <w:r>
              <w:rPr>
                <w:sz w:val="21"/>
                <w:szCs w:val="21"/>
              </w:rPr>
              <w:t>报告配置</w:t>
            </w:r>
          </w:p>
        </w:tc>
        <w:tc>
          <w:tcPr>
            <w:tcW w:w="3241" w:type="pct"/>
            <w:noWrap w:val="0"/>
            <w:vAlign w:val="center"/>
          </w:tcPr>
          <w:p w14:paraId="37846C8B">
            <w:pPr>
              <w:rPr>
                <w:sz w:val="21"/>
                <w:szCs w:val="21"/>
              </w:rPr>
            </w:pPr>
            <w:r>
              <w:rPr>
                <w:sz w:val="21"/>
                <w:szCs w:val="21"/>
              </w:rPr>
              <w:t>支持配置自动在报告中描述病灶情况、分支完全闭塞情况、主肺动脉和升主动脉直径比、右心室和左心室直径比</w:t>
            </w:r>
          </w:p>
        </w:tc>
      </w:tr>
      <w:tr w14:paraId="32829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4921D18">
            <w:pPr>
              <w:rPr>
                <w:sz w:val="21"/>
                <w:szCs w:val="21"/>
              </w:rPr>
            </w:pPr>
            <w:r>
              <w:rPr>
                <w:rFonts w:hint="eastAsia"/>
                <w:sz w:val="21"/>
                <w:szCs w:val="21"/>
                <w:lang w:val="en-US" w:eastAsia="zh-CN"/>
              </w:rPr>
              <w:t>3</w:t>
            </w:r>
            <w:r>
              <w:rPr>
                <w:sz w:val="21"/>
                <w:szCs w:val="21"/>
              </w:rPr>
              <w:t>.34</w:t>
            </w:r>
          </w:p>
        </w:tc>
        <w:tc>
          <w:tcPr>
            <w:tcW w:w="1245" w:type="pct"/>
            <w:noWrap w:val="0"/>
            <w:vAlign w:val="center"/>
          </w:tcPr>
          <w:p w14:paraId="50A267AF">
            <w:pPr>
              <w:rPr>
                <w:sz w:val="21"/>
                <w:szCs w:val="21"/>
              </w:rPr>
            </w:pPr>
            <w:r>
              <w:rPr>
                <w:sz w:val="21"/>
                <w:szCs w:val="21"/>
              </w:rPr>
              <w:t>一键切换其他胸痛应用</w:t>
            </w:r>
          </w:p>
        </w:tc>
        <w:tc>
          <w:tcPr>
            <w:tcW w:w="3241" w:type="pct"/>
            <w:noWrap w:val="0"/>
            <w:vAlign w:val="center"/>
          </w:tcPr>
          <w:p w14:paraId="7E5433D0">
            <w:pPr>
              <w:rPr>
                <w:sz w:val="21"/>
                <w:szCs w:val="21"/>
              </w:rPr>
            </w:pPr>
            <w:r>
              <w:rPr>
                <w:sz w:val="21"/>
                <w:szCs w:val="21"/>
              </w:rPr>
              <w:t>支持在当前应用界面一键切换至其他胸痛分析应用</w:t>
            </w:r>
          </w:p>
        </w:tc>
      </w:tr>
      <w:tr w14:paraId="02F62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1F50C8B3">
            <w:pPr>
              <w:rPr>
                <w:sz w:val="21"/>
                <w:szCs w:val="21"/>
              </w:rPr>
            </w:pPr>
            <w:r>
              <w:rPr>
                <w:rFonts w:hint="eastAsia"/>
                <w:sz w:val="21"/>
                <w:szCs w:val="21"/>
                <w:lang w:val="en-US" w:eastAsia="zh-CN"/>
              </w:rPr>
              <w:t>3</w:t>
            </w:r>
            <w:r>
              <w:rPr>
                <w:sz w:val="21"/>
                <w:szCs w:val="21"/>
              </w:rPr>
              <w:t>.35</w:t>
            </w:r>
          </w:p>
        </w:tc>
        <w:tc>
          <w:tcPr>
            <w:tcW w:w="1245" w:type="pct"/>
            <w:noWrap w:val="0"/>
            <w:vAlign w:val="center"/>
          </w:tcPr>
          <w:p w14:paraId="7F42DCED">
            <w:pPr>
              <w:rPr>
                <w:sz w:val="21"/>
                <w:szCs w:val="21"/>
              </w:rPr>
            </w:pPr>
            <w:r>
              <w:rPr>
                <w:sz w:val="21"/>
                <w:szCs w:val="21"/>
              </w:rPr>
              <w:t>患者管理</w:t>
            </w:r>
          </w:p>
        </w:tc>
        <w:tc>
          <w:tcPr>
            <w:tcW w:w="3241" w:type="pct"/>
            <w:noWrap w:val="0"/>
            <w:vAlign w:val="center"/>
          </w:tcPr>
          <w:p w14:paraId="2774CB3D">
            <w:pPr>
              <w:rPr>
                <w:sz w:val="21"/>
                <w:szCs w:val="21"/>
              </w:rPr>
            </w:pPr>
            <w:r>
              <w:rPr>
                <w:sz w:val="21"/>
                <w:szCs w:val="21"/>
              </w:rPr>
              <w:t>以列表显示数据，并提示肺栓塞阳性病例，并且基于栓子所在位置提示中央型PE/周围型PE</w:t>
            </w:r>
          </w:p>
        </w:tc>
      </w:tr>
      <w:tr w14:paraId="56244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7B9BAFA">
            <w:pPr>
              <w:rPr>
                <w:sz w:val="21"/>
                <w:szCs w:val="21"/>
              </w:rPr>
            </w:pPr>
            <w:r>
              <w:rPr>
                <w:rFonts w:hint="eastAsia"/>
                <w:sz w:val="21"/>
                <w:szCs w:val="21"/>
                <w:lang w:val="en-US" w:eastAsia="zh-CN"/>
              </w:rPr>
              <w:t>3</w:t>
            </w:r>
            <w:r>
              <w:rPr>
                <w:sz w:val="21"/>
                <w:szCs w:val="21"/>
              </w:rPr>
              <w:t>.36</w:t>
            </w:r>
          </w:p>
        </w:tc>
        <w:tc>
          <w:tcPr>
            <w:tcW w:w="1245" w:type="pct"/>
            <w:noWrap w:val="0"/>
            <w:vAlign w:val="center"/>
          </w:tcPr>
          <w:p w14:paraId="6EF26111">
            <w:pPr>
              <w:rPr>
                <w:sz w:val="21"/>
                <w:szCs w:val="21"/>
              </w:rPr>
            </w:pPr>
            <w:r>
              <w:rPr>
                <w:sz w:val="21"/>
                <w:szCs w:val="21"/>
              </w:rPr>
              <w:t>同屏对比显示</w:t>
            </w:r>
          </w:p>
        </w:tc>
        <w:tc>
          <w:tcPr>
            <w:tcW w:w="3241" w:type="pct"/>
            <w:noWrap w:val="0"/>
            <w:vAlign w:val="center"/>
          </w:tcPr>
          <w:p w14:paraId="70F62245">
            <w:pPr>
              <w:rPr>
                <w:sz w:val="21"/>
                <w:szCs w:val="21"/>
              </w:rPr>
            </w:pPr>
            <w:r>
              <w:rPr>
                <w:sz w:val="21"/>
                <w:szCs w:val="21"/>
              </w:rPr>
              <w:t>可同屏显示2次不同时间的肺栓塞检查图像</w:t>
            </w:r>
          </w:p>
        </w:tc>
      </w:tr>
      <w:tr w14:paraId="170B6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62ABAFAA">
            <w:pPr>
              <w:rPr>
                <w:sz w:val="21"/>
                <w:szCs w:val="21"/>
              </w:rPr>
            </w:pPr>
            <w:r>
              <w:rPr>
                <w:rFonts w:hint="eastAsia"/>
                <w:sz w:val="21"/>
                <w:szCs w:val="21"/>
                <w:lang w:val="en-US" w:eastAsia="zh-CN"/>
              </w:rPr>
              <w:t>3</w:t>
            </w:r>
            <w:r>
              <w:rPr>
                <w:sz w:val="21"/>
                <w:szCs w:val="21"/>
              </w:rPr>
              <w:t>.37</w:t>
            </w:r>
          </w:p>
        </w:tc>
        <w:tc>
          <w:tcPr>
            <w:tcW w:w="1245" w:type="pct"/>
            <w:noWrap w:val="0"/>
            <w:vAlign w:val="center"/>
          </w:tcPr>
          <w:p w14:paraId="4332DC54">
            <w:pPr>
              <w:rPr>
                <w:sz w:val="21"/>
                <w:szCs w:val="21"/>
              </w:rPr>
            </w:pPr>
            <w:r>
              <w:rPr>
                <w:sz w:val="21"/>
                <w:szCs w:val="21"/>
              </w:rPr>
              <w:t>自动匹配</w:t>
            </w:r>
          </w:p>
        </w:tc>
        <w:tc>
          <w:tcPr>
            <w:tcW w:w="3241" w:type="pct"/>
            <w:noWrap w:val="0"/>
            <w:vAlign w:val="center"/>
          </w:tcPr>
          <w:p w14:paraId="591253CD">
            <w:pPr>
              <w:rPr>
                <w:sz w:val="21"/>
                <w:szCs w:val="21"/>
              </w:rPr>
            </w:pPr>
            <w:r>
              <w:rPr>
                <w:sz w:val="21"/>
                <w:szCs w:val="21"/>
              </w:rPr>
              <w:t>根据患者patient ID自动匹配前后两次检查</w:t>
            </w:r>
          </w:p>
        </w:tc>
      </w:tr>
      <w:tr w14:paraId="6ACD6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00B5BB4E">
            <w:pPr>
              <w:rPr>
                <w:sz w:val="21"/>
                <w:szCs w:val="21"/>
              </w:rPr>
            </w:pPr>
            <w:r>
              <w:rPr>
                <w:rFonts w:hint="eastAsia"/>
                <w:sz w:val="21"/>
                <w:szCs w:val="21"/>
                <w:lang w:val="en-US" w:eastAsia="zh-CN"/>
              </w:rPr>
              <w:t>3</w:t>
            </w:r>
            <w:r>
              <w:rPr>
                <w:sz w:val="21"/>
                <w:szCs w:val="21"/>
              </w:rPr>
              <w:t>.38</w:t>
            </w:r>
          </w:p>
        </w:tc>
        <w:tc>
          <w:tcPr>
            <w:tcW w:w="1245" w:type="pct"/>
            <w:noWrap w:val="0"/>
            <w:vAlign w:val="center"/>
          </w:tcPr>
          <w:p w14:paraId="4555CBBE">
            <w:pPr>
              <w:rPr>
                <w:sz w:val="21"/>
                <w:szCs w:val="21"/>
              </w:rPr>
            </w:pPr>
            <w:r>
              <w:rPr>
                <w:sz w:val="21"/>
                <w:szCs w:val="21"/>
              </w:rPr>
              <w:t>同步操作</w:t>
            </w:r>
          </w:p>
        </w:tc>
        <w:tc>
          <w:tcPr>
            <w:tcW w:w="3241" w:type="pct"/>
            <w:noWrap w:val="0"/>
            <w:vAlign w:val="center"/>
          </w:tcPr>
          <w:p w14:paraId="23C26BAF">
            <w:pPr>
              <w:rPr>
                <w:sz w:val="21"/>
                <w:szCs w:val="21"/>
              </w:rPr>
            </w:pPr>
            <w:r>
              <w:rPr>
                <w:sz w:val="21"/>
                <w:szCs w:val="21"/>
              </w:rPr>
              <w:t>实现2次检查图像同步阅片（翻页、平移、缩放）操作，提供快捷操作设置，支持同步切换MPR/MIP Thin/MinIP功能；便于用户同步观察同一位置栓子变化情况</w:t>
            </w:r>
          </w:p>
        </w:tc>
      </w:tr>
      <w:tr w14:paraId="2B074C79">
        <w:tblPrEx>
          <w:tblCellMar>
            <w:top w:w="0" w:type="dxa"/>
            <w:left w:w="108" w:type="dxa"/>
            <w:bottom w:w="0" w:type="dxa"/>
            <w:right w:w="108" w:type="dxa"/>
          </w:tblCellMar>
        </w:tblPrEx>
        <w:trPr>
          <w:trHeight w:val="147" w:hRule="atLeast"/>
          <w:jc w:val="center"/>
        </w:trPr>
        <w:tc>
          <w:tcPr>
            <w:tcW w:w="512" w:type="pct"/>
            <w:noWrap w:val="0"/>
            <w:vAlign w:val="center"/>
          </w:tcPr>
          <w:p w14:paraId="62236E6F">
            <w:pPr>
              <w:rPr>
                <w:sz w:val="21"/>
                <w:szCs w:val="21"/>
              </w:rPr>
            </w:pPr>
            <w:r>
              <w:rPr>
                <w:rFonts w:hint="eastAsia"/>
                <w:sz w:val="21"/>
                <w:szCs w:val="21"/>
                <w:lang w:val="en-US" w:eastAsia="zh-CN"/>
              </w:rPr>
              <w:t>3</w:t>
            </w:r>
            <w:r>
              <w:rPr>
                <w:sz w:val="21"/>
                <w:szCs w:val="21"/>
              </w:rPr>
              <w:t>.39</w:t>
            </w:r>
          </w:p>
        </w:tc>
        <w:tc>
          <w:tcPr>
            <w:tcW w:w="1245" w:type="pct"/>
            <w:noWrap w:val="0"/>
            <w:vAlign w:val="center"/>
          </w:tcPr>
          <w:p w14:paraId="7B8E3826">
            <w:pPr>
              <w:rPr>
                <w:sz w:val="21"/>
                <w:szCs w:val="21"/>
              </w:rPr>
            </w:pPr>
            <w:r>
              <w:rPr>
                <w:sz w:val="21"/>
                <w:szCs w:val="21"/>
              </w:rPr>
              <w:t>生成文本</w:t>
            </w:r>
          </w:p>
        </w:tc>
        <w:tc>
          <w:tcPr>
            <w:tcW w:w="3241" w:type="pct"/>
            <w:noWrap w:val="0"/>
            <w:vAlign w:val="center"/>
          </w:tcPr>
          <w:p w14:paraId="024814E7">
            <w:pPr>
              <w:rPr>
                <w:sz w:val="21"/>
                <w:szCs w:val="21"/>
              </w:rPr>
            </w:pPr>
            <w:r>
              <w:rPr>
                <w:sz w:val="21"/>
                <w:szCs w:val="21"/>
              </w:rPr>
              <w:t>自动生成随访结果文本，可编辑、复制</w:t>
            </w:r>
          </w:p>
        </w:tc>
      </w:tr>
      <w:tr w14:paraId="78F31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EA2E599">
            <w:pPr>
              <w:rPr>
                <w:rFonts w:hint="eastAsia"/>
                <w:sz w:val="21"/>
                <w:szCs w:val="21"/>
                <w:lang w:val="en-US" w:eastAsia="zh-CN"/>
              </w:rPr>
            </w:pPr>
            <w:r>
              <w:rPr>
                <w:rFonts w:hint="eastAsia"/>
                <w:sz w:val="21"/>
                <w:szCs w:val="21"/>
                <w:lang w:val="en-US" w:eastAsia="zh-CN"/>
              </w:rPr>
              <w:t>4</w:t>
            </w:r>
          </w:p>
        </w:tc>
        <w:tc>
          <w:tcPr>
            <w:tcW w:w="1245" w:type="pct"/>
            <w:noWrap w:val="0"/>
            <w:vAlign w:val="center"/>
          </w:tcPr>
          <w:p w14:paraId="2C64F7BC">
            <w:pPr>
              <w:rPr>
                <w:sz w:val="21"/>
                <w:szCs w:val="21"/>
              </w:rPr>
            </w:pPr>
            <w:r>
              <w:rPr>
                <w:sz w:val="21"/>
                <w:szCs w:val="21"/>
              </w:rPr>
              <w:t>颅内出血CT影像辅助分诊软件</w:t>
            </w:r>
          </w:p>
        </w:tc>
        <w:tc>
          <w:tcPr>
            <w:tcW w:w="3241" w:type="pct"/>
            <w:noWrap w:val="0"/>
            <w:vAlign w:val="center"/>
          </w:tcPr>
          <w:p w14:paraId="0E226C25">
            <w:pPr>
              <w:rPr>
                <w:sz w:val="21"/>
                <w:szCs w:val="21"/>
              </w:rPr>
            </w:pPr>
          </w:p>
        </w:tc>
      </w:tr>
      <w:tr w14:paraId="7033A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5AD366CA">
            <w:pPr>
              <w:rPr>
                <w:sz w:val="21"/>
                <w:szCs w:val="21"/>
              </w:rPr>
            </w:pPr>
            <w:r>
              <w:rPr>
                <w:rFonts w:hint="eastAsia"/>
                <w:sz w:val="21"/>
                <w:szCs w:val="21"/>
                <w:lang w:val="en-US" w:eastAsia="zh-CN"/>
              </w:rPr>
              <w:t>4</w:t>
            </w:r>
            <w:r>
              <w:rPr>
                <w:sz w:val="21"/>
                <w:szCs w:val="21"/>
              </w:rPr>
              <w:t>.1</w:t>
            </w:r>
          </w:p>
        </w:tc>
        <w:tc>
          <w:tcPr>
            <w:tcW w:w="1245" w:type="pct"/>
            <w:noWrap w:val="0"/>
            <w:vAlign w:val="center"/>
          </w:tcPr>
          <w:p w14:paraId="428204A1">
            <w:pPr>
              <w:rPr>
                <w:sz w:val="21"/>
                <w:szCs w:val="21"/>
              </w:rPr>
            </w:pPr>
            <w:r>
              <w:rPr>
                <w:sz w:val="21"/>
                <w:szCs w:val="21"/>
              </w:rPr>
              <w:t>医疗器械注册证</w:t>
            </w:r>
          </w:p>
        </w:tc>
        <w:tc>
          <w:tcPr>
            <w:tcW w:w="3241" w:type="pct"/>
            <w:noWrap w:val="0"/>
            <w:vAlign w:val="center"/>
          </w:tcPr>
          <w:p w14:paraId="521B134B">
            <w:pPr>
              <w:rPr>
                <w:sz w:val="21"/>
                <w:szCs w:val="21"/>
              </w:rPr>
            </w:pPr>
            <w:r>
              <w:rPr>
                <w:sz w:val="21"/>
                <w:szCs w:val="21"/>
              </w:rPr>
              <w:t>具备第三类管理类别NMPA医疗器械注册证，提供产品注册证复印件并加盖公章</w:t>
            </w:r>
          </w:p>
        </w:tc>
      </w:tr>
      <w:tr w14:paraId="36ED8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4DB73E49">
            <w:pPr>
              <w:rPr>
                <w:sz w:val="21"/>
                <w:szCs w:val="21"/>
              </w:rPr>
            </w:pPr>
            <w:r>
              <w:rPr>
                <w:rFonts w:hint="eastAsia"/>
                <w:sz w:val="21"/>
                <w:szCs w:val="21"/>
                <w:lang w:val="en-US" w:eastAsia="zh-CN"/>
              </w:rPr>
              <w:t>4</w:t>
            </w:r>
            <w:r>
              <w:rPr>
                <w:sz w:val="21"/>
                <w:szCs w:val="21"/>
              </w:rPr>
              <w:t>.2</w:t>
            </w:r>
          </w:p>
        </w:tc>
        <w:tc>
          <w:tcPr>
            <w:tcW w:w="1245" w:type="pct"/>
            <w:noWrap w:val="0"/>
            <w:vAlign w:val="center"/>
          </w:tcPr>
          <w:p w14:paraId="0E93D7DD">
            <w:pPr>
              <w:rPr>
                <w:sz w:val="21"/>
                <w:szCs w:val="21"/>
              </w:rPr>
            </w:pPr>
            <w:r>
              <w:rPr>
                <w:sz w:val="21"/>
                <w:szCs w:val="21"/>
              </w:rPr>
              <w:t>出血类型分析</w:t>
            </w:r>
          </w:p>
        </w:tc>
        <w:tc>
          <w:tcPr>
            <w:tcW w:w="3241" w:type="pct"/>
            <w:noWrap w:val="0"/>
            <w:vAlign w:val="center"/>
          </w:tcPr>
          <w:p w14:paraId="6DC715F4">
            <w:pPr>
              <w:rPr>
                <w:sz w:val="21"/>
                <w:szCs w:val="21"/>
              </w:rPr>
            </w:pPr>
            <w:r>
              <w:rPr>
                <w:sz w:val="21"/>
                <w:szCs w:val="21"/>
              </w:rPr>
              <w:t>支持≥5种出血类型及水肿检测，并提供支持类型明细</w:t>
            </w:r>
          </w:p>
        </w:tc>
      </w:tr>
      <w:tr w14:paraId="7F85F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665486EB">
            <w:pPr>
              <w:rPr>
                <w:sz w:val="21"/>
                <w:szCs w:val="21"/>
              </w:rPr>
            </w:pPr>
            <w:r>
              <w:rPr>
                <w:rFonts w:hint="eastAsia"/>
                <w:sz w:val="21"/>
                <w:szCs w:val="21"/>
                <w:lang w:val="en-US" w:eastAsia="zh-CN"/>
              </w:rPr>
              <w:t>4</w:t>
            </w:r>
            <w:r>
              <w:rPr>
                <w:sz w:val="21"/>
                <w:szCs w:val="21"/>
              </w:rPr>
              <w:t>.3</w:t>
            </w:r>
          </w:p>
        </w:tc>
        <w:tc>
          <w:tcPr>
            <w:tcW w:w="1245" w:type="pct"/>
            <w:noWrap w:val="0"/>
            <w:vAlign w:val="center"/>
          </w:tcPr>
          <w:p w14:paraId="5F998E82">
            <w:pPr>
              <w:rPr>
                <w:sz w:val="21"/>
                <w:szCs w:val="21"/>
              </w:rPr>
            </w:pPr>
            <w:r>
              <w:rPr>
                <w:sz w:val="21"/>
                <w:szCs w:val="21"/>
              </w:rPr>
              <w:t>识别率</w:t>
            </w:r>
          </w:p>
        </w:tc>
        <w:tc>
          <w:tcPr>
            <w:tcW w:w="3241" w:type="pct"/>
            <w:noWrap w:val="0"/>
            <w:vAlign w:val="center"/>
          </w:tcPr>
          <w:p w14:paraId="644FBDE6">
            <w:pPr>
              <w:rPr>
                <w:sz w:val="21"/>
                <w:szCs w:val="21"/>
              </w:rPr>
            </w:pPr>
            <w:r>
              <w:rPr>
                <w:sz w:val="21"/>
                <w:szCs w:val="21"/>
              </w:rPr>
              <w:t>五种病灶亚型识别中AUC均≥0.84，提供第三方检测报告或论文证明</w:t>
            </w:r>
          </w:p>
        </w:tc>
      </w:tr>
      <w:tr w14:paraId="25D32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65F14120">
            <w:pPr>
              <w:rPr>
                <w:sz w:val="21"/>
                <w:szCs w:val="21"/>
              </w:rPr>
            </w:pPr>
            <w:r>
              <w:rPr>
                <w:rFonts w:hint="eastAsia"/>
                <w:sz w:val="21"/>
                <w:szCs w:val="21"/>
                <w:lang w:val="en-US" w:eastAsia="zh-CN"/>
              </w:rPr>
              <w:t>4</w:t>
            </w:r>
            <w:r>
              <w:rPr>
                <w:sz w:val="21"/>
                <w:szCs w:val="21"/>
              </w:rPr>
              <w:t>.4</w:t>
            </w:r>
          </w:p>
        </w:tc>
        <w:tc>
          <w:tcPr>
            <w:tcW w:w="1245" w:type="pct"/>
            <w:noWrap w:val="0"/>
            <w:vAlign w:val="center"/>
          </w:tcPr>
          <w:p w14:paraId="50DFC786">
            <w:pPr>
              <w:rPr>
                <w:sz w:val="21"/>
                <w:szCs w:val="21"/>
              </w:rPr>
            </w:pPr>
            <w:r>
              <w:rPr>
                <w:sz w:val="21"/>
                <w:szCs w:val="21"/>
              </w:rPr>
              <w:t>特异度</w:t>
            </w:r>
          </w:p>
        </w:tc>
        <w:tc>
          <w:tcPr>
            <w:tcW w:w="3241" w:type="pct"/>
            <w:noWrap w:val="0"/>
            <w:vAlign w:val="center"/>
          </w:tcPr>
          <w:p w14:paraId="23CD0C72">
            <w:pPr>
              <w:rPr>
                <w:sz w:val="21"/>
                <w:szCs w:val="21"/>
              </w:rPr>
            </w:pPr>
            <w:r>
              <w:rPr>
                <w:sz w:val="21"/>
                <w:szCs w:val="21"/>
              </w:rPr>
              <w:t>特异度均大于0.95，提供第三方检测报告或论文证明</w:t>
            </w:r>
          </w:p>
        </w:tc>
      </w:tr>
      <w:tr w14:paraId="6452B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787B342">
            <w:pPr>
              <w:rPr>
                <w:sz w:val="21"/>
                <w:szCs w:val="21"/>
              </w:rPr>
            </w:pPr>
            <w:r>
              <w:rPr>
                <w:rFonts w:hint="eastAsia"/>
                <w:sz w:val="21"/>
                <w:szCs w:val="21"/>
                <w:lang w:val="en-US" w:eastAsia="zh-CN"/>
              </w:rPr>
              <w:t>4</w:t>
            </w:r>
            <w:r>
              <w:rPr>
                <w:sz w:val="21"/>
                <w:szCs w:val="21"/>
              </w:rPr>
              <w:t>.5</w:t>
            </w:r>
          </w:p>
        </w:tc>
        <w:tc>
          <w:tcPr>
            <w:tcW w:w="1245" w:type="pct"/>
            <w:noWrap w:val="0"/>
            <w:vAlign w:val="center"/>
          </w:tcPr>
          <w:p w14:paraId="4231DC2B">
            <w:pPr>
              <w:rPr>
                <w:sz w:val="21"/>
                <w:szCs w:val="21"/>
              </w:rPr>
            </w:pPr>
            <w:r>
              <w:rPr>
                <w:sz w:val="21"/>
                <w:szCs w:val="21"/>
              </w:rPr>
              <w:t>出血定位</w:t>
            </w:r>
          </w:p>
        </w:tc>
        <w:tc>
          <w:tcPr>
            <w:tcW w:w="3241" w:type="pct"/>
            <w:noWrap w:val="0"/>
            <w:vAlign w:val="center"/>
          </w:tcPr>
          <w:p w14:paraId="38B5408D">
            <w:pPr>
              <w:rPr>
                <w:sz w:val="21"/>
                <w:szCs w:val="21"/>
              </w:rPr>
            </w:pPr>
            <w:r>
              <w:rPr>
                <w:sz w:val="21"/>
                <w:szCs w:val="21"/>
              </w:rPr>
              <w:t>自动定位出血所在脑区，支持≥15个脑区</w:t>
            </w:r>
          </w:p>
        </w:tc>
      </w:tr>
      <w:tr w14:paraId="174CC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01643382">
            <w:pPr>
              <w:rPr>
                <w:sz w:val="21"/>
                <w:szCs w:val="21"/>
              </w:rPr>
            </w:pPr>
            <w:r>
              <w:rPr>
                <w:rFonts w:hint="eastAsia"/>
                <w:sz w:val="21"/>
                <w:szCs w:val="21"/>
                <w:lang w:val="en-US" w:eastAsia="zh-CN"/>
              </w:rPr>
              <w:t>4</w:t>
            </w:r>
            <w:r>
              <w:rPr>
                <w:sz w:val="21"/>
                <w:szCs w:val="21"/>
              </w:rPr>
              <w:t>.6</w:t>
            </w:r>
          </w:p>
        </w:tc>
        <w:tc>
          <w:tcPr>
            <w:tcW w:w="1245" w:type="pct"/>
            <w:noWrap w:val="0"/>
            <w:vAlign w:val="center"/>
          </w:tcPr>
          <w:p w14:paraId="46AAB1C9">
            <w:pPr>
              <w:rPr>
                <w:sz w:val="21"/>
                <w:szCs w:val="21"/>
              </w:rPr>
            </w:pPr>
            <w:r>
              <w:rPr>
                <w:sz w:val="21"/>
                <w:szCs w:val="21"/>
              </w:rPr>
              <w:t>脑疝辅助分析</w:t>
            </w:r>
          </w:p>
        </w:tc>
        <w:tc>
          <w:tcPr>
            <w:tcW w:w="3241" w:type="pct"/>
            <w:noWrap w:val="0"/>
            <w:vAlign w:val="center"/>
          </w:tcPr>
          <w:p w14:paraId="2919D46B">
            <w:pPr>
              <w:rPr>
                <w:sz w:val="21"/>
                <w:szCs w:val="21"/>
              </w:rPr>
            </w:pPr>
            <w:r>
              <w:rPr>
                <w:sz w:val="21"/>
                <w:szCs w:val="21"/>
              </w:rPr>
              <w:t>测量并显示最大中线偏移距离，平均误差小于1.5mm，提供第三方检测报告或论文证明。自动分割侧脑室轮廓，并显示侧脑室受压比值</w:t>
            </w:r>
          </w:p>
        </w:tc>
      </w:tr>
      <w:tr w14:paraId="14213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01A4763A">
            <w:pPr>
              <w:rPr>
                <w:sz w:val="21"/>
                <w:szCs w:val="21"/>
              </w:rPr>
            </w:pPr>
            <w:r>
              <w:rPr>
                <w:rFonts w:hint="eastAsia"/>
                <w:sz w:val="21"/>
                <w:szCs w:val="21"/>
                <w:lang w:val="en-US" w:eastAsia="zh-CN"/>
              </w:rPr>
              <w:t>4</w:t>
            </w:r>
            <w:r>
              <w:rPr>
                <w:sz w:val="21"/>
                <w:szCs w:val="21"/>
              </w:rPr>
              <w:t>.7</w:t>
            </w:r>
          </w:p>
        </w:tc>
        <w:tc>
          <w:tcPr>
            <w:tcW w:w="1245" w:type="pct"/>
            <w:noWrap w:val="0"/>
            <w:vAlign w:val="center"/>
          </w:tcPr>
          <w:p w14:paraId="0CE1591E">
            <w:pPr>
              <w:rPr>
                <w:sz w:val="21"/>
                <w:szCs w:val="21"/>
              </w:rPr>
            </w:pPr>
            <w:r>
              <w:rPr>
                <w:sz w:val="21"/>
                <w:szCs w:val="21"/>
              </w:rPr>
              <w:t>单病灶随访</w:t>
            </w:r>
          </w:p>
        </w:tc>
        <w:tc>
          <w:tcPr>
            <w:tcW w:w="3241" w:type="pct"/>
            <w:noWrap w:val="0"/>
            <w:vAlign w:val="center"/>
          </w:tcPr>
          <w:p w14:paraId="30C2463F">
            <w:pPr>
              <w:rPr>
                <w:sz w:val="21"/>
                <w:szCs w:val="21"/>
              </w:rPr>
            </w:pPr>
            <w:r>
              <w:rPr>
                <w:sz w:val="21"/>
                <w:szCs w:val="21"/>
              </w:rPr>
              <w:t>支持脑实质出血、硬膜下出血、硬膜外出血三种出血类型的单个病灶的历史多次随访，可联动查看单个病灶多次随访图像、体积及CT值的量化对比结果和变化曲线</w:t>
            </w:r>
          </w:p>
        </w:tc>
      </w:tr>
      <w:tr w14:paraId="6ECE9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2426DA53">
            <w:pPr>
              <w:rPr>
                <w:sz w:val="21"/>
                <w:szCs w:val="21"/>
              </w:rPr>
            </w:pPr>
            <w:r>
              <w:rPr>
                <w:rFonts w:hint="eastAsia"/>
                <w:sz w:val="21"/>
                <w:szCs w:val="21"/>
                <w:lang w:val="en-US" w:eastAsia="zh-CN"/>
              </w:rPr>
              <w:t>4</w:t>
            </w:r>
            <w:r>
              <w:rPr>
                <w:sz w:val="21"/>
                <w:szCs w:val="21"/>
              </w:rPr>
              <w:t>.8</w:t>
            </w:r>
          </w:p>
        </w:tc>
        <w:tc>
          <w:tcPr>
            <w:tcW w:w="1245" w:type="pct"/>
            <w:noWrap w:val="0"/>
            <w:vAlign w:val="center"/>
          </w:tcPr>
          <w:p w14:paraId="1E7CAE77">
            <w:pPr>
              <w:rPr>
                <w:sz w:val="21"/>
                <w:szCs w:val="21"/>
              </w:rPr>
            </w:pPr>
            <w:r>
              <w:rPr>
                <w:sz w:val="21"/>
                <w:szCs w:val="21"/>
              </w:rPr>
              <w:t>危急预警</w:t>
            </w:r>
          </w:p>
        </w:tc>
        <w:tc>
          <w:tcPr>
            <w:tcW w:w="3241" w:type="pct"/>
            <w:noWrap w:val="0"/>
            <w:vAlign w:val="center"/>
          </w:tcPr>
          <w:p w14:paraId="39C4283D">
            <w:pPr>
              <w:rPr>
                <w:sz w:val="21"/>
                <w:szCs w:val="21"/>
              </w:rPr>
            </w:pPr>
            <w:r>
              <w:rPr>
                <w:sz w:val="21"/>
                <w:szCs w:val="21"/>
              </w:rPr>
              <w:t>设定出血体积、中线移位、出血体积增大占比等阈值，对于超过阈值的病灶进行危急预警</w:t>
            </w:r>
          </w:p>
        </w:tc>
      </w:tr>
      <w:tr w14:paraId="002A7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7560208E">
            <w:pPr>
              <w:rPr>
                <w:sz w:val="21"/>
                <w:szCs w:val="21"/>
              </w:rPr>
            </w:pPr>
            <w:r>
              <w:rPr>
                <w:rFonts w:hint="eastAsia"/>
                <w:sz w:val="21"/>
                <w:szCs w:val="21"/>
                <w:lang w:val="en-US" w:eastAsia="zh-CN"/>
              </w:rPr>
              <w:t>4</w:t>
            </w:r>
            <w:r>
              <w:rPr>
                <w:sz w:val="21"/>
                <w:szCs w:val="21"/>
              </w:rPr>
              <w:t>.9</w:t>
            </w:r>
          </w:p>
        </w:tc>
        <w:tc>
          <w:tcPr>
            <w:tcW w:w="1245" w:type="pct"/>
            <w:noWrap w:val="0"/>
            <w:vAlign w:val="center"/>
          </w:tcPr>
          <w:p w14:paraId="1C2EF585">
            <w:pPr>
              <w:rPr>
                <w:sz w:val="21"/>
                <w:szCs w:val="21"/>
              </w:rPr>
            </w:pPr>
            <w:r>
              <w:rPr>
                <w:sz w:val="21"/>
                <w:szCs w:val="21"/>
              </w:rPr>
              <w:t>量表分析</w:t>
            </w:r>
          </w:p>
        </w:tc>
        <w:tc>
          <w:tcPr>
            <w:tcW w:w="3241" w:type="pct"/>
            <w:noWrap w:val="0"/>
            <w:vAlign w:val="center"/>
          </w:tcPr>
          <w:p w14:paraId="684EBCF6">
            <w:pPr>
              <w:rPr>
                <w:sz w:val="21"/>
                <w:szCs w:val="21"/>
              </w:rPr>
            </w:pPr>
            <w:r>
              <w:rPr>
                <w:sz w:val="21"/>
                <w:szCs w:val="21"/>
              </w:rPr>
              <w:t>提供ICH量表和改良FISHER分级</w:t>
            </w:r>
          </w:p>
        </w:tc>
      </w:tr>
      <w:tr w14:paraId="77E6A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2" w:type="pct"/>
            <w:noWrap w:val="0"/>
            <w:vAlign w:val="center"/>
          </w:tcPr>
          <w:p w14:paraId="6908BB36">
            <w:pPr>
              <w:rPr>
                <w:sz w:val="21"/>
                <w:szCs w:val="21"/>
              </w:rPr>
            </w:pPr>
            <w:r>
              <w:rPr>
                <w:rFonts w:hint="eastAsia"/>
                <w:sz w:val="21"/>
                <w:szCs w:val="21"/>
                <w:lang w:val="en-US" w:eastAsia="zh-CN"/>
              </w:rPr>
              <w:t>4</w:t>
            </w:r>
            <w:r>
              <w:rPr>
                <w:sz w:val="21"/>
                <w:szCs w:val="21"/>
              </w:rPr>
              <w:t>.10</w:t>
            </w:r>
          </w:p>
        </w:tc>
        <w:tc>
          <w:tcPr>
            <w:tcW w:w="1245" w:type="pct"/>
            <w:noWrap w:val="0"/>
            <w:vAlign w:val="center"/>
          </w:tcPr>
          <w:p w14:paraId="1CD0311C">
            <w:pPr>
              <w:rPr>
                <w:sz w:val="21"/>
                <w:szCs w:val="21"/>
              </w:rPr>
            </w:pPr>
            <w:r>
              <w:rPr>
                <w:sz w:val="21"/>
                <w:szCs w:val="21"/>
              </w:rPr>
              <w:t>图文报告</w:t>
            </w:r>
          </w:p>
        </w:tc>
        <w:tc>
          <w:tcPr>
            <w:tcW w:w="3241" w:type="pct"/>
            <w:noWrap w:val="0"/>
            <w:vAlign w:val="center"/>
          </w:tcPr>
          <w:p w14:paraId="2E11B706">
            <w:pPr>
              <w:rPr>
                <w:sz w:val="21"/>
                <w:szCs w:val="21"/>
              </w:rPr>
            </w:pPr>
            <w:r>
              <w:rPr>
                <w:sz w:val="21"/>
                <w:szCs w:val="21"/>
              </w:rPr>
              <w:t>提供患者信息、当前检查和上一次检查的病灶影像、病灶信息及病灶随访信息展示患者当前危急值项目和影像所见</w:t>
            </w:r>
          </w:p>
        </w:tc>
      </w:tr>
    </w:tbl>
    <w:p w14:paraId="5B5B3D6F">
      <w:pPr>
        <w:spacing w:line="360" w:lineRule="auto"/>
        <w:rPr>
          <w:sz w:val="21"/>
          <w:szCs w:val="21"/>
        </w:rPr>
      </w:pPr>
      <w:r>
        <w:rPr>
          <w:rFonts w:hint="eastAsia"/>
          <w:sz w:val="21"/>
          <w:szCs w:val="21"/>
        </w:rPr>
        <w:t>2.2本合同未包括如下服务内容：</w:t>
      </w:r>
    </w:p>
    <w:p w14:paraId="5650BBA4">
      <w:pPr>
        <w:spacing w:line="360" w:lineRule="auto"/>
        <w:rPr>
          <w:rFonts w:hint="eastAsia"/>
          <w:sz w:val="21"/>
          <w:szCs w:val="21"/>
        </w:rPr>
      </w:pPr>
      <w:r>
        <w:rPr>
          <w:rFonts w:hint="default"/>
          <w:sz w:val="21"/>
          <w:szCs w:val="21"/>
          <w:lang w:val="en-US" w:eastAsia="en-US"/>
        </w:rPr>
        <w:t>(1)</w:t>
      </w:r>
      <w:r>
        <w:rPr>
          <w:rFonts w:hint="eastAsia"/>
          <w:sz w:val="21"/>
          <w:szCs w:val="21"/>
        </w:rPr>
        <w:t>处理设备表面的损伤或设备自然损耗。</w:t>
      </w:r>
    </w:p>
    <w:p w14:paraId="723B6721">
      <w:pPr>
        <w:spacing w:line="360" w:lineRule="auto"/>
        <w:rPr>
          <w:rFonts w:hint="eastAsia"/>
          <w:sz w:val="21"/>
          <w:szCs w:val="21"/>
        </w:rPr>
      </w:pPr>
      <w:r>
        <w:rPr>
          <w:rFonts w:hint="default"/>
          <w:sz w:val="21"/>
          <w:szCs w:val="21"/>
          <w:lang w:val="en-US" w:eastAsia="en-US"/>
        </w:rPr>
        <w:t>(2)</w:t>
      </w:r>
      <w:r>
        <w:rPr>
          <w:rFonts w:hint="eastAsia"/>
          <w:sz w:val="21"/>
          <w:szCs w:val="21"/>
        </w:rPr>
        <w:t>附件及易耗品。</w:t>
      </w:r>
    </w:p>
    <w:p w14:paraId="6BF0540C">
      <w:pPr>
        <w:spacing w:line="360" w:lineRule="auto"/>
        <w:rPr>
          <w:rFonts w:hint="eastAsia"/>
          <w:sz w:val="21"/>
          <w:szCs w:val="21"/>
        </w:rPr>
      </w:pPr>
      <w:r>
        <w:rPr>
          <w:rFonts w:hint="default"/>
          <w:sz w:val="21"/>
          <w:szCs w:val="21"/>
          <w:lang w:val="en-US" w:eastAsia="en-US"/>
        </w:rPr>
        <w:t>(3)</w:t>
      </w:r>
      <w:r>
        <w:rPr>
          <w:rFonts w:hint="eastAsia"/>
          <w:sz w:val="21"/>
          <w:szCs w:val="21"/>
        </w:rPr>
        <w:t>设备拆机、翻新、重装、迁移、搬动等。</w:t>
      </w:r>
    </w:p>
    <w:p w14:paraId="7DD54252">
      <w:pPr>
        <w:spacing w:line="360" w:lineRule="auto"/>
        <w:rPr>
          <w:rFonts w:hint="eastAsia"/>
          <w:sz w:val="21"/>
          <w:szCs w:val="21"/>
        </w:rPr>
      </w:pPr>
      <w:r>
        <w:rPr>
          <w:rFonts w:hint="default"/>
          <w:sz w:val="21"/>
          <w:szCs w:val="21"/>
          <w:lang w:val="en-US" w:eastAsia="en-US"/>
        </w:rPr>
        <w:t>(4)</w:t>
      </w:r>
      <w:r>
        <w:rPr>
          <w:rFonts w:hint="eastAsia"/>
          <w:sz w:val="21"/>
          <w:szCs w:val="21"/>
        </w:rPr>
        <w:t>未列明的非乙方生产的产品（如工作站、激光打印机、洗片机、精密空调、水冷机、高压注射器等）的维修和保养等。</w:t>
      </w:r>
      <w:bookmarkStart w:id="6" w:name="_GoBack"/>
      <w:bookmarkEnd w:id="6"/>
    </w:p>
    <w:p w14:paraId="795E4EA1">
      <w:pPr>
        <w:numPr>
          <w:ilvl w:val="0"/>
          <w:numId w:val="0"/>
        </w:numPr>
        <w:spacing w:line="360" w:lineRule="auto"/>
        <w:rPr>
          <w:rFonts w:ascii="宋体" w:hAnsi="宋体" w:eastAsia="宋体" w:cs="宋体"/>
          <w:b/>
          <w:bCs/>
          <w:sz w:val="21"/>
          <w:szCs w:val="21"/>
        </w:rPr>
      </w:pPr>
      <w:r>
        <w:rPr>
          <w:rFonts w:ascii="宋体" w:hAnsi="宋体" w:eastAsia="宋体" w:cs="宋体"/>
          <w:b/>
          <w:bCs/>
          <w:sz w:val="21"/>
          <w:szCs w:val="21"/>
          <w:lang w:val="en-US" w:eastAsia="en-US" w:bidi="ar-SA"/>
        </w:rPr>
        <w:t>3.</w:t>
      </w:r>
      <w:r>
        <w:rPr>
          <w:rFonts w:hint="eastAsia" w:ascii="宋体" w:hAnsi="宋体" w:eastAsia="宋体" w:cs="宋体"/>
          <w:b/>
          <w:bCs/>
          <w:sz w:val="21"/>
          <w:szCs w:val="21"/>
        </w:rPr>
        <w:t>维保服务费支付方式</w:t>
      </w:r>
    </w:p>
    <w:p w14:paraId="31FB66A8">
      <w:pPr>
        <w:spacing w:line="360" w:lineRule="auto"/>
        <w:rPr>
          <w:b w:val="0"/>
          <w:bCs w:val="0"/>
          <w:sz w:val="21"/>
          <w:szCs w:val="21"/>
        </w:rPr>
      </w:pPr>
      <w:r>
        <w:rPr>
          <w:rFonts w:hint="eastAsia"/>
          <w:b w:val="0"/>
          <w:bCs w:val="0"/>
          <w:sz w:val="21"/>
          <w:szCs w:val="21"/>
        </w:rPr>
        <w:t>3.1付款方式 </w:t>
      </w:r>
    </w:p>
    <w:p w14:paraId="13B4E3C5">
      <w:pPr>
        <w:spacing w:line="360" w:lineRule="auto"/>
        <w:rPr>
          <w:rFonts w:hint="eastAsia"/>
          <w:b w:val="0"/>
          <w:bCs w:val="0"/>
          <w:sz w:val="21"/>
          <w:szCs w:val="21"/>
          <w:lang w:val="en-US" w:eastAsia="zh-CN"/>
        </w:rPr>
      </w:pPr>
      <w:r>
        <w:rPr>
          <w:rFonts w:hint="eastAsia"/>
          <w:b w:val="0"/>
          <w:bCs w:val="0"/>
          <w:sz w:val="21"/>
          <w:szCs w:val="21"/>
          <w:lang w:val="en-US" w:eastAsia="zh-CN"/>
        </w:rPr>
        <w:t>3.1.1 项目验收合格后，达到付款条件起10日内，支付合同总金额的 70.00%。</w:t>
      </w:r>
    </w:p>
    <w:p w14:paraId="1088C588">
      <w:pPr>
        <w:spacing w:line="360" w:lineRule="auto"/>
        <w:rPr>
          <w:rFonts w:hint="eastAsia"/>
          <w:b w:val="0"/>
          <w:bCs w:val="0"/>
          <w:sz w:val="21"/>
          <w:szCs w:val="21"/>
          <w:lang w:val="en-US" w:eastAsia="zh-CN"/>
        </w:rPr>
      </w:pPr>
      <w:r>
        <w:rPr>
          <w:rFonts w:hint="eastAsia"/>
          <w:b w:val="0"/>
          <w:bCs w:val="0"/>
          <w:sz w:val="21"/>
          <w:szCs w:val="21"/>
          <w:lang w:val="en-US" w:eastAsia="zh-CN"/>
        </w:rPr>
        <w:t>3.1.2 合同签订半年后，达到付款条件起10日内，支付合同总金额的 25.00%</w:t>
      </w:r>
    </w:p>
    <w:p w14:paraId="25D43F37">
      <w:pPr>
        <w:spacing w:line="360" w:lineRule="auto"/>
        <w:rPr>
          <w:rFonts w:hint="eastAsia" w:eastAsia="宋体"/>
          <w:b w:val="0"/>
          <w:bCs w:val="0"/>
          <w:sz w:val="21"/>
          <w:szCs w:val="21"/>
          <w:lang w:val="en-US" w:eastAsia="zh-CN"/>
        </w:rPr>
      </w:pPr>
      <w:r>
        <w:rPr>
          <w:rFonts w:hint="eastAsia"/>
          <w:b w:val="0"/>
          <w:bCs w:val="0"/>
          <w:sz w:val="21"/>
          <w:szCs w:val="21"/>
          <w:lang w:val="en-US" w:eastAsia="zh-CN"/>
        </w:rPr>
        <w:t>3.1.3 合同签订一年后，达到付款条件起10日内，支付合同总金额的 5.00%。</w:t>
      </w:r>
    </w:p>
    <w:p w14:paraId="5A89E2D7">
      <w:pPr>
        <w:spacing w:line="360" w:lineRule="auto"/>
        <w:rPr>
          <w:b w:val="0"/>
          <w:bCs w:val="0"/>
          <w:sz w:val="21"/>
          <w:szCs w:val="21"/>
        </w:rPr>
      </w:pPr>
      <w:r>
        <w:rPr>
          <w:rFonts w:hint="eastAsia"/>
          <w:b w:val="0"/>
          <w:bCs w:val="0"/>
          <w:sz w:val="21"/>
          <w:szCs w:val="21"/>
        </w:rPr>
        <w:t>3.2乙方收款账号信息： </w:t>
      </w:r>
    </w:p>
    <w:p w14:paraId="76D04558">
      <w:pPr>
        <w:spacing w:line="360" w:lineRule="auto"/>
        <w:rPr>
          <w:sz w:val="21"/>
          <w:szCs w:val="21"/>
        </w:rPr>
      </w:pPr>
      <w:r>
        <w:rPr>
          <w:rFonts w:hint="eastAsia"/>
          <w:sz w:val="21"/>
          <w:szCs w:val="21"/>
        </w:rPr>
        <w:t>收款单位：</w:t>
      </w:r>
    </w:p>
    <w:p w14:paraId="2F0128BF">
      <w:pPr>
        <w:spacing w:line="360" w:lineRule="auto"/>
        <w:rPr>
          <w:sz w:val="21"/>
          <w:szCs w:val="21"/>
        </w:rPr>
      </w:pPr>
      <w:r>
        <w:rPr>
          <w:rFonts w:hint="eastAsia"/>
          <w:sz w:val="21"/>
          <w:szCs w:val="21"/>
        </w:rPr>
        <w:t>开户行：</w:t>
      </w:r>
    </w:p>
    <w:p w14:paraId="5A84F0E4">
      <w:pPr>
        <w:spacing w:line="360" w:lineRule="auto"/>
        <w:rPr>
          <w:sz w:val="21"/>
          <w:szCs w:val="21"/>
        </w:rPr>
      </w:pPr>
      <w:r>
        <w:rPr>
          <w:rFonts w:hint="eastAsia"/>
          <w:sz w:val="21"/>
          <w:szCs w:val="21"/>
        </w:rPr>
        <w:t>账</w:t>
      </w:r>
      <w:r>
        <w:rPr>
          <w:rFonts w:hint="eastAsia"/>
          <w:sz w:val="21"/>
          <w:szCs w:val="21"/>
          <w:lang w:val="en-US" w:eastAsia="zh-CN"/>
        </w:rPr>
        <w:t xml:space="preserve">  </w:t>
      </w:r>
      <w:r>
        <w:rPr>
          <w:rFonts w:hint="eastAsia"/>
          <w:sz w:val="21"/>
          <w:szCs w:val="21"/>
        </w:rPr>
        <w:t>号：</w:t>
      </w:r>
    </w:p>
    <w:p w14:paraId="391A3BF0">
      <w:pPr>
        <w:spacing w:line="360" w:lineRule="auto"/>
        <w:rPr>
          <w:sz w:val="21"/>
          <w:szCs w:val="21"/>
        </w:rPr>
      </w:pPr>
      <w:r>
        <w:rPr>
          <w:rFonts w:hint="eastAsia"/>
          <w:sz w:val="21"/>
          <w:szCs w:val="21"/>
        </w:rPr>
        <w:t>税</w:t>
      </w:r>
      <w:r>
        <w:rPr>
          <w:rFonts w:hint="eastAsia"/>
          <w:sz w:val="21"/>
          <w:szCs w:val="21"/>
          <w:lang w:val="en-US" w:eastAsia="zh-CN"/>
        </w:rPr>
        <w:t xml:space="preserve">  </w:t>
      </w:r>
      <w:r>
        <w:rPr>
          <w:rFonts w:hint="eastAsia"/>
          <w:sz w:val="21"/>
          <w:szCs w:val="21"/>
        </w:rPr>
        <w:t>号：</w:t>
      </w:r>
    </w:p>
    <w:p w14:paraId="3E7A2940">
      <w:pPr>
        <w:spacing w:line="360" w:lineRule="auto"/>
        <w:rPr>
          <w:sz w:val="21"/>
          <w:szCs w:val="21"/>
        </w:rPr>
      </w:pPr>
      <w:r>
        <w:rPr>
          <w:rFonts w:hint="eastAsia"/>
          <w:sz w:val="21"/>
          <w:szCs w:val="21"/>
        </w:rPr>
        <w:t>甲方开票信息：</w:t>
      </w:r>
    </w:p>
    <w:p w14:paraId="6F8D4587">
      <w:pPr>
        <w:spacing w:line="360" w:lineRule="auto"/>
        <w:rPr>
          <w:rFonts w:asciiTheme="minorEastAsia" w:hAnsiTheme="minorEastAsia" w:cstheme="minorEastAsia"/>
          <w:sz w:val="21"/>
          <w:szCs w:val="21"/>
        </w:rPr>
      </w:pPr>
      <w:r>
        <w:rPr>
          <w:rFonts w:hint="eastAsia" w:asciiTheme="minorEastAsia" w:hAnsiTheme="minorEastAsia" w:cstheme="minorEastAsia"/>
          <w:sz w:val="21"/>
          <w:szCs w:val="21"/>
        </w:rPr>
        <w:t>公司名称：</w:t>
      </w:r>
    </w:p>
    <w:p w14:paraId="3A3D15BA">
      <w:pPr>
        <w:spacing w:line="360" w:lineRule="auto"/>
        <w:rPr>
          <w:sz w:val="21"/>
          <w:szCs w:val="21"/>
        </w:rPr>
      </w:pPr>
      <w:r>
        <w:rPr>
          <w:rFonts w:hint="eastAsia" w:asciiTheme="minorEastAsia" w:hAnsiTheme="minorEastAsia" w:cstheme="minorEastAsia"/>
          <w:sz w:val="21"/>
          <w:szCs w:val="21"/>
        </w:rPr>
        <w:t>税</w:t>
      </w:r>
      <w:r>
        <w:rPr>
          <w:rFonts w:hint="eastAsia" w:asciiTheme="minorEastAsia" w:hAnsiTheme="minorEastAsia" w:cstheme="minorEastAsia"/>
          <w:sz w:val="21"/>
          <w:szCs w:val="21"/>
          <w:lang w:val="en-US" w:eastAsia="zh-CN"/>
        </w:rPr>
        <w:t xml:space="preserve">    </w:t>
      </w:r>
      <w:r>
        <w:rPr>
          <w:rFonts w:hint="eastAsia" w:asciiTheme="minorEastAsia" w:hAnsiTheme="minorEastAsia" w:cstheme="minorEastAsia"/>
          <w:sz w:val="21"/>
          <w:szCs w:val="21"/>
        </w:rPr>
        <w:t>号：</w:t>
      </w:r>
    </w:p>
    <w:p w14:paraId="54775131">
      <w:pPr>
        <w:spacing w:line="360" w:lineRule="auto"/>
        <w:rPr>
          <w:rFonts w:ascii="宋体" w:hAnsi="宋体" w:eastAsia="宋体" w:cs="宋体"/>
          <w:b/>
          <w:bCs/>
          <w:sz w:val="21"/>
          <w:szCs w:val="21"/>
        </w:rPr>
      </w:pPr>
      <w:r>
        <w:rPr>
          <w:rFonts w:hint="eastAsia" w:ascii="宋体" w:hAnsi="宋体" w:eastAsia="宋体" w:cs="宋体"/>
          <w:b/>
          <w:bCs/>
          <w:sz w:val="21"/>
          <w:szCs w:val="21"/>
        </w:rPr>
        <w:t>4.其他</w:t>
      </w:r>
    </w:p>
    <w:p w14:paraId="0072AFBA">
      <w:pPr>
        <w:spacing w:line="360" w:lineRule="auto"/>
        <w:rPr>
          <w:sz w:val="21"/>
          <w:szCs w:val="21"/>
        </w:rPr>
      </w:pPr>
      <w:r>
        <w:rPr>
          <w:rFonts w:hint="eastAsia"/>
          <w:sz w:val="21"/>
          <w:szCs w:val="21"/>
        </w:rPr>
        <w:t>4.1附件《一般条款》作为本合同的组成部分，对双方都具有约束力。</w:t>
      </w:r>
    </w:p>
    <w:p w14:paraId="4ACC2DC3">
      <w:pPr>
        <w:spacing w:line="360" w:lineRule="auto"/>
        <w:rPr>
          <w:sz w:val="21"/>
          <w:szCs w:val="21"/>
        </w:rPr>
      </w:pPr>
      <w:r>
        <w:rPr>
          <w:rFonts w:hint="eastAsia"/>
          <w:sz w:val="21"/>
          <w:szCs w:val="21"/>
        </w:rPr>
        <w:t>4.2本合同自双方盖章之日起生效，本合同</w:t>
      </w:r>
      <w:r>
        <w:rPr>
          <w:sz w:val="21"/>
          <w:szCs w:val="21"/>
        </w:rPr>
        <w:t>一式</w:t>
      </w:r>
      <w:r>
        <w:rPr>
          <w:rFonts w:hint="eastAsia"/>
          <w:sz w:val="21"/>
          <w:szCs w:val="21"/>
          <w:lang w:val="en-US" w:eastAsia="zh-CN"/>
        </w:rPr>
        <w:t xml:space="preserve">  </w:t>
      </w:r>
      <w:r>
        <w:rPr>
          <w:sz w:val="21"/>
          <w:szCs w:val="21"/>
        </w:rPr>
        <w:t>份，</w:t>
      </w:r>
      <w:r>
        <w:rPr>
          <w:rFonts w:hint="eastAsia"/>
          <w:sz w:val="21"/>
          <w:szCs w:val="21"/>
        </w:rPr>
        <w:t>甲</w:t>
      </w:r>
      <w:r>
        <w:rPr>
          <w:sz w:val="21"/>
          <w:szCs w:val="21"/>
        </w:rPr>
        <w:t>方执</w:t>
      </w:r>
      <w:r>
        <w:rPr>
          <w:rFonts w:hint="eastAsia"/>
          <w:sz w:val="21"/>
          <w:szCs w:val="21"/>
          <w:lang w:val="en-US" w:eastAsia="zh-CN"/>
        </w:rPr>
        <w:t xml:space="preserve">  </w:t>
      </w:r>
      <w:r>
        <w:rPr>
          <w:sz w:val="21"/>
          <w:szCs w:val="21"/>
        </w:rPr>
        <w:t>份，</w:t>
      </w:r>
      <w:r>
        <w:rPr>
          <w:rFonts w:hint="eastAsia"/>
          <w:sz w:val="21"/>
          <w:szCs w:val="21"/>
        </w:rPr>
        <w:t>乙</w:t>
      </w:r>
      <w:r>
        <w:rPr>
          <w:sz w:val="21"/>
          <w:szCs w:val="21"/>
        </w:rPr>
        <w:t>方执</w:t>
      </w:r>
      <w:r>
        <w:rPr>
          <w:rFonts w:hint="eastAsia"/>
          <w:sz w:val="21"/>
          <w:szCs w:val="21"/>
          <w:lang w:val="en-US" w:eastAsia="zh-CN"/>
        </w:rPr>
        <w:t xml:space="preserve">  </w:t>
      </w:r>
      <w:r>
        <w:rPr>
          <w:sz w:val="21"/>
          <w:szCs w:val="21"/>
        </w:rPr>
        <w:t>份，每份具有同等法律效力。</w:t>
      </w:r>
    </w:p>
    <w:p w14:paraId="124417C9">
      <w:pPr>
        <w:spacing w:line="360" w:lineRule="auto"/>
        <w:rPr>
          <w:rFonts w:ascii="宋体" w:hAnsi="宋体" w:eastAsia="宋体" w:cs="宋体"/>
          <w:color w:val="000000"/>
          <w:sz w:val="21"/>
          <w:szCs w:val="21"/>
        </w:rPr>
      </w:pPr>
      <w:r>
        <w:rPr>
          <w:rFonts w:hint="eastAsia"/>
          <w:sz w:val="21"/>
          <w:szCs w:val="21"/>
        </w:rPr>
        <w:t>（以下无正文）。</w:t>
      </w:r>
      <w:r>
        <w:rPr>
          <w:rFonts w:hint="eastAsia" w:ascii="宋体" w:hAnsi="宋体" w:eastAsia="宋体" w:cs="宋体"/>
          <w:color w:val="000000"/>
          <w:sz w:val="21"/>
          <w:szCs w:val="21"/>
        </w:rPr>
        <w:t>  </w:t>
      </w:r>
    </w:p>
    <w:tbl>
      <w:tblPr>
        <w:tblStyle w:val="6"/>
        <w:tblW w:w="8403" w:type="dxa"/>
        <w:jc w:val="center"/>
        <w:tblLayout w:type="fixed"/>
        <w:tblCellMar>
          <w:top w:w="0" w:type="dxa"/>
          <w:left w:w="108" w:type="dxa"/>
          <w:bottom w:w="0" w:type="dxa"/>
          <w:right w:w="108" w:type="dxa"/>
        </w:tblCellMar>
      </w:tblPr>
      <w:tblGrid>
        <w:gridCol w:w="4201"/>
        <w:gridCol w:w="4202"/>
      </w:tblGrid>
      <w:tr w14:paraId="56CAD3A7">
        <w:trPr>
          <w:trHeight w:val="567" w:hRule="exact"/>
          <w:jc w:val="center"/>
        </w:trPr>
        <w:tc>
          <w:tcPr>
            <w:tcW w:w="4201" w:type="dxa"/>
            <w:vAlign w:val="center"/>
          </w:tcPr>
          <w:p w14:paraId="5F7F158C">
            <w:pPr>
              <w:adjustRightInd w:val="0"/>
              <w:snapToGrid w:val="0"/>
              <w:spacing w:line="372" w:lineRule="auto"/>
              <w:rPr>
                <w:rFonts w:cs="仿宋_GB2312"/>
                <w:bCs/>
                <w:sz w:val="21"/>
                <w:szCs w:val="21"/>
              </w:rPr>
            </w:pPr>
            <w:r>
              <w:rPr>
                <w:rFonts w:hint="eastAsia" w:cs="仿宋_GB2312"/>
                <w:bCs/>
                <w:sz w:val="21"/>
                <w:szCs w:val="21"/>
              </w:rPr>
              <w:t>甲  方</w:t>
            </w:r>
          </w:p>
        </w:tc>
        <w:tc>
          <w:tcPr>
            <w:tcW w:w="4202" w:type="dxa"/>
            <w:vAlign w:val="center"/>
          </w:tcPr>
          <w:p w14:paraId="09BB3ED8">
            <w:pPr>
              <w:adjustRightInd w:val="0"/>
              <w:snapToGrid w:val="0"/>
              <w:spacing w:line="372" w:lineRule="auto"/>
              <w:rPr>
                <w:rFonts w:cs="仿宋_GB2312"/>
                <w:bCs/>
                <w:sz w:val="21"/>
                <w:szCs w:val="21"/>
              </w:rPr>
            </w:pPr>
            <w:r>
              <w:rPr>
                <w:rFonts w:hint="eastAsia" w:cs="仿宋_GB2312"/>
                <w:bCs/>
                <w:sz w:val="21"/>
                <w:szCs w:val="21"/>
              </w:rPr>
              <w:t>乙  方</w:t>
            </w:r>
          </w:p>
        </w:tc>
      </w:tr>
      <w:tr w14:paraId="57FEEFDB">
        <w:tblPrEx>
          <w:tblCellMar>
            <w:top w:w="0" w:type="dxa"/>
            <w:left w:w="108" w:type="dxa"/>
            <w:bottom w:w="0" w:type="dxa"/>
            <w:right w:w="108" w:type="dxa"/>
          </w:tblCellMar>
        </w:tblPrEx>
        <w:trPr>
          <w:trHeight w:val="567" w:hRule="exact"/>
          <w:jc w:val="center"/>
        </w:trPr>
        <w:tc>
          <w:tcPr>
            <w:tcW w:w="4201" w:type="dxa"/>
            <w:vAlign w:val="center"/>
          </w:tcPr>
          <w:p w14:paraId="4A1D699F">
            <w:pPr>
              <w:adjustRightInd w:val="0"/>
              <w:snapToGrid w:val="0"/>
              <w:spacing w:line="372" w:lineRule="auto"/>
              <w:rPr>
                <w:rFonts w:cs="仿宋_GB2312"/>
                <w:bCs/>
                <w:sz w:val="21"/>
                <w:szCs w:val="21"/>
              </w:rPr>
            </w:pPr>
            <w:r>
              <w:rPr>
                <w:rFonts w:hint="eastAsia" w:cs="仿宋_GB2312"/>
                <w:bCs/>
                <w:sz w:val="21"/>
                <w:szCs w:val="21"/>
              </w:rPr>
              <w:t>（盖章）</w:t>
            </w:r>
          </w:p>
        </w:tc>
        <w:tc>
          <w:tcPr>
            <w:tcW w:w="4202" w:type="dxa"/>
            <w:vAlign w:val="center"/>
          </w:tcPr>
          <w:p w14:paraId="793B691E">
            <w:pPr>
              <w:adjustRightInd w:val="0"/>
              <w:snapToGrid w:val="0"/>
              <w:spacing w:line="372" w:lineRule="auto"/>
              <w:rPr>
                <w:rFonts w:cs="仿宋_GB2312"/>
                <w:bCs/>
                <w:sz w:val="21"/>
                <w:szCs w:val="21"/>
              </w:rPr>
            </w:pPr>
            <w:r>
              <w:rPr>
                <w:rFonts w:hint="eastAsia" w:cs="仿宋_GB2312"/>
                <w:bCs/>
                <w:sz w:val="21"/>
                <w:szCs w:val="21"/>
              </w:rPr>
              <w:t>（盖章）</w:t>
            </w:r>
          </w:p>
        </w:tc>
      </w:tr>
      <w:tr w14:paraId="6D8C499C">
        <w:tblPrEx>
          <w:tblCellMar>
            <w:top w:w="0" w:type="dxa"/>
            <w:left w:w="108" w:type="dxa"/>
            <w:bottom w:w="0" w:type="dxa"/>
            <w:right w:w="108" w:type="dxa"/>
          </w:tblCellMar>
        </w:tblPrEx>
        <w:trPr>
          <w:trHeight w:val="567" w:hRule="exact"/>
          <w:jc w:val="center"/>
        </w:trPr>
        <w:tc>
          <w:tcPr>
            <w:tcW w:w="4201" w:type="dxa"/>
            <w:vAlign w:val="center"/>
          </w:tcPr>
          <w:p w14:paraId="06043413">
            <w:pPr>
              <w:adjustRightInd w:val="0"/>
              <w:snapToGrid w:val="0"/>
              <w:spacing w:line="372" w:lineRule="auto"/>
              <w:rPr>
                <w:rFonts w:cs="仿宋_GB2312"/>
                <w:bCs/>
                <w:sz w:val="21"/>
                <w:szCs w:val="21"/>
              </w:rPr>
            </w:pPr>
            <w:r>
              <w:rPr>
                <w:rFonts w:hint="eastAsia" w:cs="仿宋_GB2312"/>
                <w:bCs/>
                <w:sz w:val="21"/>
                <w:szCs w:val="21"/>
              </w:rPr>
              <w:t xml:space="preserve">地址： </w:t>
            </w:r>
          </w:p>
        </w:tc>
        <w:tc>
          <w:tcPr>
            <w:tcW w:w="4202" w:type="dxa"/>
            <w:vAlign w:val="center"/>
          </w:tcPr>
          <w:p w14:paraId="42B4426E">
            <w:pPr>
              <w:adjustRightInd w:val="0"/>
              <w:snapToGrid w:val="0"/>
              <w:spacing w:line="372" w:lineRule="auto"/>
              <w:rPr>
                <w:rFonts w:cs="仿宋_GB2312"/>
                <w:bCs/>
                <w:sz w:val="21"/>
                <w:szCs w:val="21"/>
              </w:rPr>
            </w:pPr>
            <w:r>
              <w:rPr>
                <w:rFonts w:hint="eastAsia" w:cs="仿宋_GB2312"/>
                <w:bCs/>
                <w:sz w:val="21"/>
                <w:szCs w:val="21"/>
              </w:rPr>
              <w:t>地址：</w:t>
            </w:r>
          </w:p>
        </w:tc>
      </w:tr>
      <w:tr w14:paraId="5F3BC9C2">
        <w:tblPrEx>
          <w:tblCellMar>
            <w:top w:w="0" w:type="dxa"/>
            <w:left w:w="108" w:type="dxa"/>
            <w:bottom w:w="0" w:type="dxa"/>
            <w:right w:w="108" w:type="dxa"/>
          </w:tblCellMar>
        </w:tblPrEx>
        <w:trPr>
          <w:trHeight w:val="567" w:hRule="exact"/>
          <w:jc w:val="center"/>
        </w:trPr>
        <w:tc>
          <w:tcPr>
            <w:tcW w:w="4201" w:type="dxa"/>
            <w:vAlign w:val="center"/>
          </w:tcPr>
          <w:p w14:paraId="160C18CF">
            <w:pPr>
              <w:adjustRightInd w:val="0"/>
              <w:snapToGrid w:val="0"/>
              <w:spacing w:line="372" w:lineRule="auto"/>
              <w:rPr>
                <w:rFonts w:cs="仿宋_GB2312"/>
                <w:bCs/>
                <w:sz w:val="21"/>
                <w:szCs w:val="21"/>
              </w:rPr>
            </w:pPr>
            <w:r>
              <w:rPr>
                <w:rFonts w:hint="eastAsia" w:cs="仿宋_GB2312"/>
                <w:bCs/>
                <w:sz w:val="21"/>
                <w:szCs w:val="21"/>
              </w:rPr>
              <w:t>邮编：</w:t>
            </w:r>
          </w:p>
        </w:tc>
        <w:tc>
          <w:tcPr>
            <w:tcW w:w="4202" w:type="dxa"/>
            <w:vAlign w:val="center"/>
          </w:tcPr>
          <w:p w14:paraId="39082649">
            <w:pPr>
              <w:adjustRightInd w:val="0"/>
              <w:snapToGrid w:val="0"/>
              <w:spacing w:line="372" w:lineRule="auto"/>
              <w:rPr>
                <w:rFonts w:cs="仿宋_GB2312"/>
                <w:bCs/>
                <w:sz w:val="21"/>
                <w:szCs w:val="21"/>
              </w:rPr>
            </w:pPr>
            <w:r>
              <w:rPr>
                <w:rFonts w:hint="eastAsia" w:cs="仿宋_GB2312"/>
                <w:bCs/>
                <w:sz w:val="21"/>
                <w:szCs w:val="21"/>
              </w:rPr>
              <w:t>邮编：</w:t>
            </w:r>
          </w:p>
        </w:tc>
      </w:tr>
      <w:tr w14:paraId="24A63318">
        <w:tblPrEx>
          <w:tblCellMar>
            <w:top w:w="0" w:type="dxa"/>
            <w:left w:w="108" w:type="dxa"/>
            <w:bottom w:w="0" w:type="dxa"/>
            <w:right w:w="108" w:type="dxa"/>
          </w:tblCellMar>
        </w:tblPrEx>
        <w:trPr>
          <w:trHeight w:val="567" w:hRule="exact"/>
          <w:jc w:val="center"/>
        </w:trPr>
        <w:tc>
          <w:tcPr>
            <w:tcW w:w="4201" w:type="dxa"/>
            <w:vAlign w:val="center"/>
          </w:tcPr>
          <w:p w14:paraId="75BDBA5D">
            <w:pPr>
              <w:adjustRightInd w:val="0"/>
              <w:snapToGrid w:val="0"/>
              <w:spacing w:line="372" w:lineRule="auto"/>
              <w:rPr>
                <w:rFonts w:cs="仿宋_GB2312"/>
                <w:bCs/>
                <w:sz w:val="21"/>
                <w:szCs w:val="21"/>
                <w:lang w:eastAsia="zh-CN"/>
              </w:rPr>
            </w:pPr>
            <w:r>
              <w:rPr>
                <w:rFonts w:hint="eastAsia" w:cs="仿宋_GB2312"/>
                <w:bCs/>
                <w:sz w:val="21"/>
                <w:szCs w:val="21"/>
                <w:lang w:eastAsia="zh-CN"/>
              </w:rPr>
              <w:t xml:space="preserve">法定代表人（或负责人）： </w:t>
            </w:r>
          </w:p>
        </w:tc>
        <w:tc>
          <w:tcPr>
            <w:tcW w:w="4202" w:type="dxa"/>
            <w:vAlign w:val="center"/>
          </w:tcPr>
          <w:p w14:paraId="3C2589D9">
            <w:pPr>
              <w:adjustRightInd w:val="0"/>
              <w:snapToGrid w:val="0"/>
              <w:spacing w:line="372" w:lineRule="auto"/>
              <w:rPr>
                <w:rFonts w:cs="仿宋_GB2312"/>
                <w:bCs/>
                <w:sz w:val="21"/>
                <w:szCs w:val="21"/>
                <w:lang w:eastAsia="zh-CN"/>
              </w:rPr>
            </w:pPr>
            <w:r>
              <w:rPr>
                <w:rFonts w:hint="eastAsia" w:cs="仿宋_GB2312"/>
                <w:bCs/>
                <w:sz w:val="21"/>
                <w:szCs w:val="21"/>
                <w:lang w:eastAsia="zh-CN"/>
              </w:rPr>
              <w:t>法定代表人（或负责人）：</w:t>
            </w:r>
          </w:p>
        </w:tc>
      </w:tr>
      <w:tr w14:paraId="3A0C55C4">
        <w:tblPrEx>
          <w:tblCellMar>
            <w:top w:w="0" w:type="dxa"/>
            <w:left w:w="108" w:type="dxa"/>
            <w:bottom w:w="0" w:type="dxa"/>
            <w:right w:w="108" w:type="dxa"/>
          </w:tblCellMar>
        </w:tblPrEx>
        <w:trPr>
          <w:trHeight w:val="567" w:hRule="exact"/>
          <w:jc w:val="center"/>
        </w:trPr>
        <w:tc>
          <w:tcPr>
            <w:tcW w:w="4201" w:type="dxa"/>
            <w:vAlign w:val="center"/>
          </w:tcPr>
          <w:p w14:paraId="72EA84B1">
            <w:pPr>
              <w:adjustRightInd w:val="0"/>
              <w:snapToGrid w:val="0"/>
              <w:spacing w:line="372" w:lineRule="auto"/>
              <w:rPr>
                <w:rFonts w:cs="仿宋_GB2312"/>
                <w:bCs/>
                <w:sz w:val="21"/>
                <w:szCs w:val="21"/>
              </w:rPr>
            </w:pPr>
            <w:r>
              <w:rPr>
                <w:rFonts w:hint="eastAsia" w:cs="仿宋_GB2312"/>
                <w:bCs/>
                <w:sz w:val="21"/>
                <w:szCs w:val="21"/>
                <w:lang w:eastAsia="zh-CN"/>
              </w:rPr>
              <w:t>或被授权人</w:t>
            </w:r>
            <w:r>
              <w:rPr>
                <w:rFonts w:hint="eastAsia" w:cs="仿宋_GB2312"/>
                <w:bCs/>
                <w:sz w:val="21"/>
                <w:szCs w:val="21"/>
              </w:rPr>
              <w:t>：</w:t>
            </w:r>
          </w:p>
        </w:tc>
        <w:tc>
          <w:tcPr>
            <w:tcW w:w="4202" w:type="dxa"/>
            <w:vAlign w:val="center"/>
          </w:tcPr>
          <w:p w14:paraId="660484A6">
            <w:pPr>
              <w:adjustRightInd w:val="0"/>
              <w:snapToGrid w:val="0"/>
              <w:spacing w:line="372" w:lineRule="auto"/>
              <w:rPr>
                <w:rFonts w:cs="仿宋_GB2312"/>
                <w:bCs/>
                <w:sz w:val="21"/>
                <w:szCs w:val="21"/>
              </w:rPr>
            </w:pPr>
            <w:r>
              <w:rPr>
                <w:rFonts w:hint="eastAsia" w:cs="仿宋_GB2312"/>
                <w:bCs/>
                <w:sz w:val="21"/>
                <w:szCs w:val="21"/>
                <w:lang w:eastAsia="zh-CN"/>
              </w:rPr>
              <w:t>或被授权人</w:t>
            </w:r>
            <w:r>
              <w:rPr>
                <w:rFonts w:hint="eastAsia" w:cs="仿宋_GB2312"/>
                <w:bCs/>
                <w:sz w:val="21"/>
                <w:szCs w:val="21"/>
              </w:rPr>
              <w:t>：</w:t>
            </w:r>
          </w:p>
        </w:tc>
      </w:tr>
      <w:tr w14:paraId="65BA84DB">
        <w:tblPrEx>
          <w:tblCellMar>
            <w:top w:w="0" w:type="dxa"/>
            <w:left w:w="108" w:type="dxa"/>
            <w:bottom w:w="0" w:type="dxa"/>
            <w:right w:w="108" w:type="dxa"/>
          </w:tblCellMar>
        </w:tblPrEx>
        <w:trPr>
          <w:trHeight w:val="567" w:hRule="exact"/>
          <w:jc w:val="center"/>
        </w:trPr>
        <w:tc>
          <w:tcPr>
            <w:tcW w:w="4201" w:type="dxa"/>
            <w:vAlign w:val="center"/>
          </w:tcPr>
          <w:p w14:paraId="73D2EB34">
            <w:pPr>
              <w:adjustRightInd w:val="0"/>
              <w:snapToGrid w:val="0"/>
              <w:spacing w:line="372" w:lineRule="auto"/>
              <w:rPr>
                <w:rFonts w:cs="仿宋_GB2312"/>
                <w:bCs/>
                <w:sz w:val="21"/>
                <w:szCs w:val="21"/>
              </w:rPr>
            </w:pPr>
            <w:r>
              <w:rPr>
                <w:rFonts w:hint="eastAsia" w:cs="仿宋_GB2312"/>
                <w:bCs/>
                <w:sz w:val="21"/>
                <w:szCs w:val="21"/>
              </w:rPr>
              <w:t>电话：</w:t>
            </w:r>
          </w:p>
        </w:tc>
        <w:tc>
          <w:tcPr>
            <w:tcW w:w="4202" w:type="dxa"/>
            <w:vAlign w:val="center"/>
          </w:tcPr>
          <w:p w14:paraId="26213443">
            <w:pPr>
              <w:adjustRightInd w:val="0"/>
              <w:snapToGrid w:val="0"/>
              <w:spacing w:line="372" w:lineRule="auto"/>
              <w:rPr>
                <w:rFonts w:cs="仿宋_GB2312"/>
                <w:bCs/>
                <w:sz w:val="21"/>
                <w:szCs w:val="21"/>
              </w:rPr>
            </w:pPr>
            <w:r>
              <w:rPr>
                <w:rFonts w:hint="eastAsia" w:cs="仿宋_GB2312"/>
                <w:bCs/>
                <w:sz w:val="21"/>
                <w:szCs w:val="21"/>
              </w:rPr>
              <w:t>电话：</w:t>
            </w:r>
          </w:p>
        </w:tc>
      </w:tr>
      <w:tr w14:paraId="0044B291">
        <w:tblPrEx>
          <w:tblCellMar>
            <w:top w:w="0" w:type="dxa"/>
            <w:left w:w="108" w:type="dxa"/>
            <w:bottom w:w="0" w:type="dxa"/>
            <w:right w:w="108" w:type="dxa"/>
          </w:tblCellMar>
        </w:tblPrEx>
        <w:trPr>
          <w:trHeight w:val="567" w:hRule="exact"/>
          <w:jc w:val="center"/>
        </w:trPr>
        <w:tc>
          <w:tcPr>
            <w:tcW w:w="4201" w:type="dxa"/>
            <w:vAlign w:val="center"/>
          </w:tcPr>
          <w:p w14:paraId="731FCEE8">
            <w:pPr>
              <w:adjustRightInd w:val="0"/>
              <w:snapToGrid w:val="0"/>
              <w:spacing w:line="372" w:lineRule="auto"/>
              <w:rPr>
                <w:rFonts w:cs="仿宋_GB2312"/>
                <w:bCs/>
                <w:sz w:val="21"/>
                <w:szCs w:val="21"/>
              </w:rPr>
            </w:pPr>
            <w:r>
              <w:rPr>
                <w:rFonts w:hint="eastAsia" w:cs="仿宋_GB2312"/>
                <w:bCs/>
                <w:sz w:val="21"/>
                <w:szCs w:val="21"/>
              </w:rPr>
              <w:t>传真：</w:t>
            </w:r>
          </w:p>
        </w:tc>
        <w:tc>
          <w:tcPr>
            <w:tcW w:w="4202" w:type="dxa"/>
            <w:vAlign w:val="center"/>
          </w:tcPr>
          <w:p w14:paraId="2460D14C">
            <w:pPr>
              <w:adjustRightInd w:val="0"/>
              <w:snapToGrid w:val="0"/>
              <w:spacing w:line="372" w:lineRule="auto"/>
              <w:rPr>
                <w:rFonts w:cs="仿宋_GB2312"/>
                <w:bCs/>
                <w:sz w:val="21"/>
                <w:szCs w:val="21"/>
              </w:rPr>
            </w:pPr>
            <w:r>
              <w:rPr>
                <w:rFonts w:hint="eastAsia" w:cs="仿宋_GB2312"/>
                <w:bCs/>
                <w:sz w:val="21"/>
                <w:szCs w:val="21"/>
              </w:rPr>
              <w:t>传真：</w:t>
            </w:r>
          </w:p>
        </w:tc>
      </w:tr>
      <w:tr w14:paraId="16B79143">
        <w:tblPrEx>
          <w:tblCellMar>
            <w:top w:w="0" w:type="dxa"/>
            <w:left w:w="108" w:type="dxa"/>
            <w:bottom w:w="0" w:type="dxa"/>
            <w:right w:w="108" w:type="dxa"/>
          </w:tblCellMar>
        </w:tblPrEx>
        <w:trPr>
          <w:trHeight w:val="567" w:hRule="exact"/>
          <w:jc w:val="center"/>
        </w:trPr>
        <w:tc>
          <w:tcPr>
            <w:tcW w:w="4201" w:type="dxa"/>
            <w:vAlign w:val="center"/>
          </w:tcPr>
          <w:p w14:paraId="02674944">
            <w:pPr>
              <w:adjustRightInd w:val="0"/>
              <w:snapToGrid w:val="0"/>
              <w:spacing w:line="372" w:lineRule="auto"/>
              <w:rPr>
                <w:rFonts w:cs="仿宋_GB2312"/>
                <w:bCs/>
                <w:sz w:val="21"/>
                <w:szCs w:val="21"/>
              </w:rPr>
            </w:pPr>
            <w:r>
              <w:rPr>
                <w:rFonts w:hint="eastAsia" w:cs="仿宋_GB2312"/>
                <w:bCs/>
                <w:sz w:val="21"/>
                <w:szCs w:val="21"/>
              </w:rPr>
              <w:t>开户银行：</w:t>
            </w:r>
          </w:p>
        </w:tc>
        <w:tc>
          <w:tcPr>
            <w:tcW w:w="4202" w:type="dxa"/>
            <w:vAlign w:val="center"/>
          </w:tcPr>
          <w:p w14:paraId="0A5D6AE2">
            <w:pPr>
              <w:adjustRightInd w:val="0"/>
              <w:snapToGrid w:val="0"/>
              <w:spacing w:line="372" w:lineRule="auto"/>
              <w:rPr>
                <w:rFonts w:cs="仿宋_GB2312"/>
                <w:bCs/>
                <w:sz w:val="21"/>
                <w:szCs w:val="21"/>
              </w:rPr>
            </w:pPr>
            <w:r>
              <w:rPr>
                <w:rFonts w:hint="eastAsia" w:cs="仿宋_GB2312"/>
                <w:bCs/>
                <w:sz w:val="21"/>
                <w:szCs w:val="21"/>
              </w:rPr>
              <w:t>开户银行：</w:t>
            </w:r>
          </w:p>
        </w:tc>
      </w:tr>
      <w:tr w14:paraId="02B2EFB8">
        <w:tblPrEx>
          <w:tblCellMar>
            <w:top w:w="0" w:type="dxa"/>
            <w:left w:w="108" w:type="dxa"/>
            <w:bottom w:w="0" w:type="dxa"/>
            <w:right w:w="108" w:type="dxa"/>
          </w:tblCellMar>
        </w:tblPrEx>
        <w:trPr>
          <w:trHeight w:val="567" w:hRule="exact"/>
          <w:jc w:val="center"/>
        </w:trPr>
        <w:tc>
          <w:tcPr>
            <w:tcW w:w="4201" w:type="dxa"/>
            <w:vAlign w:val="center"/>
          </w:tcPr>
          <w:p w14:paraId="5E3E7B6C">
            <w:pPr>
              <w:adjustRightInd w:val="0"/>
              <w:snapToGrid w:val="0"/>
              <w:spacing w:line="372" w:lineRule="auto"/>
              <w:rPr>
                <w:rFonts w:cs="仿宋_GB2312"/>
                <w:bCs/>
                <w:sz w:val="21"/>
                <w:szCs w:val="21"/>
              </w:rPr>
            </w:pPr>
            <w:r>
              <w:rPr>
                <w:rFonts w:hint="eastAsia" w:cs="仿宋_GB2312"/>
                <w:bCs/>
                <w:sz w:val="21"/>
                <w:szCs w:val="21"/>
              </w:rPr>
              <w:t>签订日期：</w:t>
            </w:r>
          </w:p>
        </w:tc>
        <w:tc>
          <w:tcPr>
            <w:tcW w:w="4202" w:type="dxa"/>
            <w:vAlign w:val="center"/>
          </w:tcPr>
          <w:p w14:paraId="5E47F734">
            <w:pPr>
              <w:adjustRightInd w:val="0"/>
              <w:snapToGrid w:val="0"/>
              <w:spacing w:line="372" w:lineRule="auto"/>
              <w:rPr>
                <w:rFonts w:cs="仿宋_GB2312"/>
                <w:bCs/>
                <w:sz w:val="21"/>
                <w:szCs w:val="21"/>
              </w:rPr>
            </w:pPr>
            <w:r>
              <w:rPr>
                <w:rFonts w:hint="eastAsia" w:cs="仿宋_GB2312"/>
                <w:bCs/>
                <w:sz w:val="21"/>
                <w:szCs w:val="21"/>
              </w:rPr>
              <w:t>签订日期：</w:t>
            </w:r>
          </w:p>
        </w:tc>
      </w:tr>
    </w:tbl>
    <w:p w14:paraId="37D519A6">
      <w:pPr>
        <w:pStyle w:val="5"/>
        <w:widowControl/>
        <w:spacing w:before="60" w:after="156" w:line="360" w:lineRule="auto"/>
        <w:jc w:val="left"/>
        <w:rPr>
          <w:rFonts w:ascii="宋体" w:hAnsi="宋体" w:eastAsia="宋体" w:cs="宋体"/>
          <w:color w:val="000000"/>
          <w:sz w:val="21"/>
          <w:szCs w:val="21"/>
        </w:rPr>
      </w:pPr>
    </w:p>
    <w:p w14:paraId="59513DD4">
      <w:pPr>
        <w:rPr>
          <w:rFonts w:ascii="宋体" w:hAnsi="宋体" w:eastAsia="宋体" w:cs="宋体"/>
          <w:color w:val="000000"/>
          <w:sz w:val="21"/>
          <w:szCs w:val="21"/>
        </w:rPr>
      </w:pPr>
      <w:r>
        <w:rPr>
          <w:rFonts w:hint="eastAsia" w:ascii="宋体" w:hAnsi="宋体" w:eastAsia="宋体" w:cs="宋体"/>
          <w:color w:val="000000"/>
          <w:sz w:val="21"/>
          <w:szCs w:val="21"/>
        </w:rPr>
        <w:br w:type="page"/>
      </w:r>
    </w:p>
    <w:p w14:paraId="1CBDD69E">
      <w:pPr>
        <w:rPr>
          <w:rFonts w:ascii="宋体" w:hAnsi="宋体" w:eastAsia="宋体" w:cs="宋体"/>
          <w:color w:val="000000"/>
          <w:sz w:val="21"/>
          <w:szCs w:val="21"/>
        </w:rPr>
      </w:pPr>
      <w:r>
        <w:rPr>
          <w:rFonts w:hint="eastAsia" w:ascii="宋体" w:hAnsi="宋体" w:eastAsia="宋体" w:cs="宋体"/>
          <w:color w:val="000000"/>
          <w:sz w:val="21"/>
          <w:szCs w:val="21"/>
        </w:rPr>
        <w:t>附件 </w:t>
      </w:r>
    </w:p>
    <w:p w14:paraId="39DF34C1">
      <w:pPr>
        <w:rPr>
          <w:rFonts w:ascii="宋体" w:hAnsi="宋体" w:eastAsia="宋体" w:cs="宋体"/>
          <w:color w:val="000000"/>
          <w:sz w:val="21"/>
          <w:szCs w:val="21"/>
        </w:rPr>
      </w:pPr>
    </w:p>
    <w:p w14:paraId="42F7A349">
      <w:pPr>
        <w:jc w:val="center"/>
        <w:rPr>
          <w:rFonts w:ascii="宋体" w:hAnsi="宋体" w:eastAsia="宋体" w:cs="宋体"/>
          <w:b/>
          <w:bCs/>
          <w:sz w:val="21"/>
          <w:szCs w:val="21"/>
        </w:rPr>
      </w:pPr>
      <w:r>
        <w:rPr>
          <w:rFonts w:hint="eastAsia" w:ascii="宋体" w:hAnsi="宋体" w:eastAsia="宋体" w:cs="宋体"/>
          <w:b/>
          <w:bCs/>
          <w:sz w:val="21"/>
          <w:szCs w:val="21"/>
        </w:rPr>
        <w:t>一般条款</w:t>
      </w:r>
    </w:p>
    <w:p w14:paraId="313FF2D3">
      <w:pPr>
        <w:rPr>
          <w:rFonts w:ascii="宋体" w:hAnsi="宋体" w:eastAsia="宋体" w:cs="宋体"/>
          <w:b/>
          <w:bCs/>
          <w:sz w:val="21"/>
          <w:szCs w:val="21"/>
        </w:rPr>
      </w:pPr>
      <w:r>
        <w:rPr>
          <w:rFonts w:hint="eastAsia" w:ascii="宋体" w:hAnsi="宋体" w:eastAsia="宋体" w:cs="宋体"/>
          <w:b/>
          <w:bCs/>
          <w:sz w:val="21"/>
          <w:szCs w:val="21"/>
        </w:rPr>
        <w:t>甲方：</w:t>
      </w:r>
    </w:p>
    <w:p w14:paraId="7D53512E">
      <w:pPr>
        <w:rPr>
          <w:rFonts w:ascii="宋体" w:hAnsi="宋体" w:eastAsia="宋体" w:cs="宋体"/>
          <w:b/>
          <w:bCs/>
          <w:sz w:val="21"/>
          <w:szCs w:val="21"/>
        </w:rPr>
      </w:pPr>
      <w:r>
        <w:rPr>
          <w:rFonts w:hint="eastAsia" w:ascii="宋体" w:hAnsi="宋体" w:eastAsia="宋体" w:cs="宋体"/>
          <w:b/>
          <w:bCs/>
          <w:sz w:val="21"/>
          <w:szCs w:val="21"/>
        </w:rPr>
        <w:t>乙方：</w:t>
      </w:r>
    </w:p>
    <w:p w14:paraId="005E4B53">
      <w:pPr>
        <w:spacing w:line="360" w:lineRule="auto"/>
        <w:rPr>
          <w:rFonts w:ascii="宋体" w:hAnsi="宋体" w:eastAsia="宋体" w:cs="宋体"/>
          <w:b/>
          <w:bCs/>
          <w:sz w:val="21"/>
          <w:szCs w:val="21"/>
        </w:rPr>
      </w:pPr>
      <w:r>
        <w:rPr>
          <w:rFonts w:hint="eastAsia" w:ascii="宋体" w:hAnsi="宋体" w:eastAsia="宋体" w:cs="宋体"/>
          <w:b/>
          <w:bCs/>
          <w:sz w:val="21"/>
          <w:szCs w:val="21"/>
        </w:rPr>
        <w:t>1.定义</w:t>
      </w:r>
    </w:p>
    <w:p w14:paraId="3C7C5B23">
      <w:pPr>
        <w:spacing w:line="360" w:lineRule="auto"/>
        <w:rPr>
          <w:rFonts w:ascii="宋体" w:hAnsi="宋体" w:eastAsia="宋体" w:cs="宋体"/>
          <w:sz w:val="21"/>
          <w:szCs w:val="21"/>
        </w:rPr>
      </w:pPr>
      <w:r>
        <w:rPr>
          <w:rFonts w:hint="eastAsia" w:ascii="宋体" w:hAnsi="宋体" w:eastAsia="宋体" w:cs="宋体"/>
          <w:b/>
          <w:bCs/>
          <w:sz w:val="21"/>
          <w:szCs w:val="21"/>
        </w:rPr>
        <w:t>1.1设备：</w:t>
      </w:r>
      <w:r>
        <w:rPr>
          <w:rFonts w:hint="eastAsia" w:ascii="宋体" w:hAnsi="宋体" w:eastAsia="宋体" w:cs="宋体"/>
          <w:sz w:val="21"/>
          <w:szCs w:val="21"/>
        </w:rPr>
        <w:t>指《维保服务合同》第1条所列的医疗设备。</w:t>
      </w:r>
    </w:p>
    <w:p w14:paraId="09C11919">
      <w:pPr>
        <w:spacing w:line="360" w:lineRule="auto"/>
        <w:rPr>
          <w:rFonts w:ascii="宋体" w:hAnsi="宋体" w:eastAsia="宋体" w:cs="宋体"/>
          <w:sz w:val="21"/>
          <w:szCs w:val="21"/>
        </w:rPr>
      </w:pPr>
      <w:r>
        <w:rPr>
          <w:rFonts w:hint="eastAsia" w:ascii="宋体" w:hAnsi="宋体" w:eastAsia="宋体" w:cs="宋体"/>
          <w:b/>
          <w:bCs/>
          <w:sz w:val="21"/>
          <w:szCs w:val="21"/>
        </w:rPr>
        <w:t>1.2备件：</w:t>
      </w:r>
      <w:r>
        <w:rPr>
          <w:rFonts w:hint="eastAsia" w:ascii="宋体" w:hAnsi="宋体" w:eastAsia="宋体" w:cs="宋体"/>
          <w:sz w:val="21"/>
          <w:szCs w:val="21"/>
        </w:rPr>
        <w:t>为了缩短设备修理停歇时间或进行设备的维护检修，而储备的用于维修的配件。</w:t>
      </w:r>
    </w:p>
    <w:p w14:paraId="4FEC8B9A">
      <w:pPr>
        <w:spacing w:line="360" w:lineRule="auto"/>
        <w:rPr>
          <w:rFonts w:ascii="宋体" w:hAnsi="宋体" w:eastAsia="宋体" w:cs="宋体"/>
          <w:sz w:val="21"/>
          <w:szCs w:val="21"/>
        </w:rPr>
      </w:pPr>
      <w:r>
        <w:rPr>
          <w:rFonts w:hint="eastAsia" w:ascii="宋体" w:hAnsi="宋体" w:eastAsia="宋体" w:cs="宋体"/>
          <w:b/>
          <w:bCs/>
          <w:sz w:val="21"/>
          <w:szCs w:val="21"/>
        </w:rPr>
        <w:t>1.3附件及易耗品：</w:t>
      </w:r>
      <w:r>
        <w:rPr>
          <w:rFonts w:hint="eastAsia" w:ascii="宋体" w:hAnsi="宋体" w:eastAsia="宋体" w:cs="宋体"/>
          <w:sz w:val="21"/>
          <w:szCs w:val="21"/>
        </w:rPr>
        <w:t>指非设备基本功能所必需的或因消耗及磨损的各种材料（如纸张、墨水、胶片、电池、数据交换载体等）的定期更换与补充。</w:t>
      </w:r>
    </w:p>
    <w:p w14:paraId="40B483A3">
      <w:pPr>
        <w:spacing w:line="360" w:lineRule="auto"/>
        <w:rPr>
          <w:rFonts w:ascii="宋体" w:hAnsi="宋体" w:eastAsia="宋体" w:cs="宋体"/>
          <w:sz w:val="21"/>
          <w:szCs w:val="21"/>
        </w:rPr>
      </w:pPr>
      <w:r>
        <w:rPr>
          <w:rFonts w:hint="eastAsia" w:ascii="宋体" w:hAnsi="宋体" w:eastAsia="宋体" w:cs="宋体"/>
          <w:b/>
          <w:bCs/>
          <w:sz w:val="21"/>
          <w:szCs w:val="21"/>
        </w:rPr>
        <w:t>1.4设备运行的基本条件：</w:t>
      </w:r>
      <w:r>
        <w:rPr>
          <w:rFonts w:hint="eastAsia" w:ascii="宋体" w:hAnsi="宋体" w:eastAsia="宋体" w:cs="宋体"/>
          <w:sz w:val="21"/>
          <w:szCs w:val="21"/>
        </w:rPr>
        <w:t>指设备在乙方安装地点正常运行所需的基本环境条件，即设备操作手册所需要的环境条件及乙方要求的其他条件，包括但不限于空调、冷却水、压缩空气、电源供应等。</w:t>
      </w:r>
    </w:p>
    <w:p w14:paraId="682AE53F">
      <w:pPr>
        <w:spacing w:line="360" w:lineRule="auto"/>
        <w:rPr>
          <w:rFonts w:ascii="宋体" w:hAnsi="宋体" w:eastAsia="宋体" w:cs="宋体"/>
          <w:sz w:val="21"/>
          <w:szCs w:val="21"/>
        </w:rPr>
      </w:pPr>
      <w:r>
        <w:rPr>
          <w:rFonts w:hint="eastAsia" w:ascii="宋体" w:hAnsi="宋体" w:eastAsia="宋体" w:cs="宋体"/>
          <w:b/>
          <w:bCs/>
          <w:sz w:val="21"/>
          <w:szCs w:val="21"/>
        </w:rPr>
        <w:t>1.5不可抗力：</w:t>
      </w:r>
      <w:r>
        <w:rPr>
          <w:rFonts w:hint="eastAsia" w:ascii="宋体" w:hAnsi="宋体" w:eastAsia="宋体" w:cs="宋体"/>
          <w:sz w:val="21"/>
          <w:szCs w:val="21"/>
        </w:rPr>
        <w:t>指任何遭受不可抗力方无法预见的且超出其合理控制的事件，包括但不限于：天灾、自然灾害(如：雷击、洪水、泥石流、地震等)、封锁、战争或类似战争状态、暴乱、阴谋破坏、火灾、运输阻滞或交通事故、政府行为(例如但不限于修改法律法规)以及疫情（包括疫情防控）。</w:t>
      </w:r>
    </w:p>
    <w:p w14:paraId="50A98458">
      <w:pPr>
        <w:spacing w:line="360" w:lineRule="auto"/>
        <w:rPr>
          <w:rFonts w:ascii="宋体" w:hAnsi="宋体" w:eastAsia="宋体" w:cs="宋体"/>
          <w:b/>
          <w:bCs/>
          <w:sz w:val="21"/>
          <w:szCs w:val="21"/>
        </w:rPr>
      </w:pPr>
      <w:r>
        <w:rPr>
          <w:rFonts w:hint="eastAsia" w:ascii="宋体" w:hAnsi="宋体" w:eastAsia="宋体" w:cs="宋体"/>
          <w:b/>
          <w:bCs/>
          <w:sz w:val="21"/>
          <w:szCs w:val="21"/>
        </w:rPr>
        <w:t>2.甲方义务</w:t>
      </w:r>
    </w:p>
    <w:p w14:paraId="1246F15F">
      <w:pPr>
        <w:spacing w:line="360" w:lineRule="auto"/>
        <w:rPr>
          <w:rFonts w:ascii="宋体" w:hAnsi="宋体" w:eastAsia="宋体" w:cs="宋体"/>
          <w:sz w:val="21"/>
          <w:szCs w:val="21"/>
        </w:rPr>
      </w:pPr>
      <w:r>
        <w:rPr>
          <w:rFonts w:hint="eastAsia" w:ascii="宋体" w:hAnsi="宋体" w:eastAsia="宋体" w:cs="宋体"/>
          <w:sz w:val="21"/>
          <w:szCs w:val="21"/>
        </w:rPr>
        <w:t>2.1甲方或最终用户应保证设备运行的基本条件，并严格按照设备操作手册的要求进行日常操作和日常维护。如果由于甲方或最终用户的原因造成设备的不正常运转或乙方无法提供维修的，乙方将不承担责任。</w:t>
      </w:r>
    </w:p>
    <w:p w14:paraId="46A69557">
      <w:pPr>
        <w:spacing w:line="360" w:lineRule="auto"/>
        <w:rPr>
          <w:rFonts w:ascii="宋体" w:hAnsi="宋体" w:eastAsia="宋体" w:cs="宋体"/>
          <w:sz w:val="21"/>
          <w:szCs w:val="21"/>
        </w:rPr>
      </w:pPr>
      <w:r>
        <w:rPr>
          <w:rFonts w:hint="eastAsia" w:ascii="宋体" w:hAnsi="宋体" w:eastAsia="宋体" w:cs="宋体"/>
          <w:sz w:val="21"/>
          <w:szCs w:val="21"/>
        </w:rPr>
        <w:t>2.2甲方应保证签订《维保服务合同》（以下简称“合同或本合同”）时，设备为原厂配置并处于良好的运行状态，如乙方在合同签订后发现甲方/最终用户隐瞒设备状态或设备中含有非原厂配置，乙方有权解除合同；如因甲方/最终用户隐瞒设备的真实情况，包括但不限于自行或聘请第三方维修、更换备件、改装过设备及备件的，导致乙方在维修时发生设备故障/损坏的，乙方将不承担责任。</w:t>
      </w:r>
    </w:p>
    <w:p w14:paraId="7FBBFD8C">
      <w:pPr>
        <w:spacing w:line="360" w:lineRule="auto"/>
        <w:rPr>
          <w:rFonts w:ascii="宋体" w:hAnsi="宋体" w:eastAsia="宋体" w:cs="宋体"/>
          <w:sz w:val="21"/>
          <w:szCs w:val="21"/>
        </w:rPr>
      </w:pPr>
      <w:r>
        <w:rPr>
          <w:rFonts w:hint="eastAsia" w:ascii="宋体" w:hAnsi="宋体" w:eastAsia="宋体" w:cs="宋体"/>
          <w:sz w:val="21"/>
          <w:szCs w:val="21"/>
        </w:rPr>
        <w:t>2.3在对合同项下的设备进行维修保养时，甲方及最终用户应向乙方提供服务所需的条件（包括但不限于乙方维修人员将有权自由进入最终用户场所进行检查/维修，腾出设备）及良好的维保环境，以确保乙方技术人员安全、及时的提供服务。甲方/最终用户应为乙方的雇员、代理等采取一切合理的现场预防措施以保障其健康与安全。</w:t>
      </w:r>
    </w:p>
    <w:p w14:paraId="69FAE6FB">
      <w:pPr>
        <w:spacing w:line="360" w:lineRule="auto"/>
        <w:rPr>
          <w:rFonts w:ascii="宋体" w:hAnsi="宋体" w:eastAsia="宋体" w:cs="宋体"/>
          <w:sz w:val="21"/>
          <w:szCs w:val="21"/>
        </w:rPr>
      </w:pPr>
      <w:r>
        <w:rPr>
          <w:rFonts w:hint="eastAsia" w:ascii="宋体" w:hAnsi="宋体" w:eastAsia="宋体" w:cs="宋体"/>
          <w:sz w:val="21"/>
          <w:szCs w:val="21"/>
        </w:rPr>
        <w:t>2.4甲方或最终用户应向乙方提供维修保养所有必要的文件、数据和信息以便乙方发现和修理任何设备故障。因履行本合同之必要，乙方可能收集的文件、数据和信息主要包括：</w:t>
      </w:r>
    </w:p>
    <w:p w14:paraId="597C2697">
      <w:pPr>
        <w:spacing w:line="360" w:lineRule="auto"/>
        <w:rPr>
          <w:rFonts w:ascii="宋体" w:hAnsi="宋体" w:eastAsia="宋体" w:cs="宋体"/>
          <w:sz w:val="21"/>
          <w:szCs w:val="21"/>
        </w:rPr>
      </w:pPr>
      <w:r>
        <w:rPr>
          <w:rFonts w:hint="eastAsia" w:ascii="宋体" w:hAnsi="宋体" w:eastAsia="宋体" w:cs="宋体"/>
          <w:sz w:val="21"/>
          <w:szCs w:val="21"/>
        </w:rPr>
        <w:t>（1）甲方或最终用户的名称、地址、联系人及联系方式；</w:t>
      </w:r>
    </w:p>
    <w:p w14:paraId="0AE14EEB">
      <w:pPr>
        <w:spacing w:line="360" w:lineRule="auto"/>
        <w:rPr>
          <w:rFonts w:ascii="宋体" w:hAnsi="宋体" w:eastAsia="宋体" w:cs="宋体"/>
          <w:sz w:val="21"/>
          <w:szCs w:val="21"/>
        </w:rPr>
      </w:pPr>
      <w:r>
        <w:rPr>
          <w:rFonts w:hint="eastAsia" w:ascii="宋体" w:hAnsi="宋体" w:eastAsia="宋体" w:cs="宋体"/>
          <w:sz w:val="21"/>
          <w:szCs w:val="21"/>
        </w:rPr>
        <w:t>（2）关键部件日志、服务日志、系统日志、设备实时运行日志（含报错信息和故障代码）；</w:t>
      </w:r>
    </w:p>
    <w:p w14:paraId="009D3B9B">
      <w:pPr>
        <w:spacing w:line="360" w:lineRule="auto"/>
        <w:rPr>
          <w:rFonts w:ascii="宋体" w:hAnsi="宋体" w:eastAsia="宋体" w:cs="宋体"/>
          <w:sz w:val="21"/>
          <w:szCs w:val="21"/>
        </w:rPr>
      </w:pPr>
      <w:r>
        <w:rPr>
          <w:rFonts w:hint="eastAsia" w:ascii="宋体" w:hAnsi="宋体" w:eastAsia="宋体" w:cs="宋体"/>
          <w:sz w:val="21"/>
          <w:szCs w:val="21"/>
        </w:rPr>
        <w:t>（3）关键部件监测诊断数据、系统矫正数据、甲方软件运行数据、系统参数；</w:t>
      </w:r>
    </w:p>
    <w:p w14:paraId="2B045F8F">
      <w:pPr>
        <w:spacing w:line="360" w:lineRule="auto"/>
        <w:rPr>
          <w:rFonts w:ascii="宋体" w:hAnsi="宋体" w:eastAsia="宋体" w:cs="宋体"/>
          <w:sz w:val="21"/>
          <w:szCs w:val="21"/>
        </w:rPr>
      </w:pPr>
      <w:r>
        <w:rPr>
          <w:rFonts w:hint="eastAsia" w:ascii="宋体" w:hAnsi="宋体" w:eastAsia="宋体" w:cs="宋体"/>
          <w:sz w:val="21"/>
          <w:szCs w:val="21"/>
        </w:rPr>
        <w:t>（4）配置、软件版本、补丁、许可、网络设置、医疗设备服务历史；</w:t>
      </w:r>
    </w:p>
    <w:p w14:paraId="61D2B7E8">
      <w:pPr>
        <w:spacing w:line="360" w:lineRule="auto"/>
        <w:rPr>
          <w:rFonts w:ascii="宋体" w:hAnsi="宋体" w:eastAsia="宋体" w:cs="宋体"/>
          <w:sz w:val="21"/>
          <w:szCs w:val="21"/>
        </w:rPr>
      </w:pPr>
      <w:r>
        <w:rPr>
          <w:rFonts w:hint="eastAsia" w:ascii="宋体" w:hAnsi="宋体" w:eastAsia="宋体" w:cs="宋体"/>
          <w:sz w:val="21"/>
          <w:szCs w:val="21"/>
        </w:rPr>
        <w:t>（5）各类任务的执行顺序，使用的应用/许可及其交互作用；和</w:t>
      </w:r>
    </w:p>
    <w:p w14:paraId="6BE62525">
      <w:pPr>
        <w:spacing w:line="360" w:lineRule="auto"/>
        <w:rPr>
          <w:rFonts w:ascii="宋体" w:hAnsi="宋体" w:eastAsia="宋体" w:cs="宋体"/>
          <w:sz w:val="21"/>
          <w:szCs w:val="21"/>
        </w:rPr>
      </w:pPr>
      <w:r>
        <w:rPr>
          <w:rFonts w:hint="eastAsia" w:ascii="宋体" w:hAnsi="宋体" w:eastAsia="宋体" w:cs="宋体"/>
          <w:sz w:val="21"/>
          <w:szCs w:val="21"/>
        </w:rPr>
        <w:t>（6）为维修影像故障目的而收集的医疗影像信息（该等情形下相关的数据处理应当符合附件《一般条款》的第5条约定）。</w:t>
      </w:r>
    </w:p>
    <w:p w14:paraId="772BE723">
      <w:pPr>
        <w:spacing w:line="360" w:lineRule="auto"/>
        <w:rPr>
          <w:rFonts w:ascii="宋体" w:hAnsi="宋体" w:eastAsia="宋体" w:cs="宋体"/>
          <w:sz w:val="21"/>
          <w:szCs w:val="21"/>
        </w:rPr>
      </w:pPr>
      <w:r>
        <w:rPr>
          <w:rFonts w:hint="eastAsia" w:ascii="宋体" w:hAnsi="宋体" w:eastAsia="宋体" w:cs="宋体"/>
          <w:sz w:val="21"/>
          <w:szCs w:val="21"/>
        </w:rPr>
        <w:t>2.5若需乙方提供远程维修服务，甲方及最终用户应当确保为远程维修服务提供安全稳定的网络环境以及用户关于远程接入和数据传输的必要授权。</w:t>
      </w:r>
    </w:p>
    <w:p w14:paraId="6A4F1CBA">
      <w:pPr>
        <w:spacing w:line="360" w:lineRule="auto"/>
        <w:rPr>
          <w:rFonts w:ascii="宋体" w:hAnsi="宋体" w:eastAsia="宋体" w:cs="宋体"/>
          <w:sz w:val="21"/>
          <w:szCs w:val="21"/>
        </w:rPr>
      </w:pPr>
      <w:r>
        <w:rPr>
          <w:rFonts w:hint="eastAsia" w:ascii="宋体" w:hAnsi="宋体" w:eastAsia="宋体" w:cs="宋体"/>
          <w:sz w:val="21"/>
          <w:szCs w:val="21"/>
        </w:rPr>
        <w:t>2.6甲方或最终用户应在新备件更换后的三日内将旧备件退还给乙方，若因甲方或最终用户原因不能退还旧备件，甲方应额外向乙方支付新备件价格的50%作为补偿。</w:t>
      </w:r>
    </w:p>
    <w:p w14:paraId="780E04E0">
      <w:pPr>
        <w:spacing w:line="360" w:lineRule="auto"/>
        <w:rPr>
          <w:rFonts w:ascii="宋体" w:hAnsi="宋体" w:eastAsia="宋体" w:cs="宋体"/>
          <w:sz w:val="21"/>
          <w:szCs w:val="21"/>
        </w:rPr>
      </w:pPr>
      <w:r>
        <w:rPr>
          <w:rFonts w:hint="eastAsia" w:ascii="宋体" w:hAnsi="宋体" w:eastAsia="宋体" w:cs="宋体"/>
          <w:sz w:val="21"/>
          <w:szCs w:val="21"/>
        </w:rPr>
        <w:t>2.7甲方知悉并同意，乙方对于下列原因导致的设备故障/损坏、产生的人工、备件或其他费用不承担责任，如甲方/最终用户需要乙方进行维修且乙方同意的，乙方将根据额外增加的维修成本与甲方协商提高合同金额或按当时适用的单次服务费率向甲方或最终用户另行收取服务费：</w:t>
      </w:r>
    </w:p>
    <w:p w14:paraId="4CDE0880">
      <w:pPr>
        <w:spacing w:line="360" w:lineRule="auto"/>
        <w:rPr>
          <w:rFonts w:ascii="宋体" w:hAnsi="宋体" w:eastAsia="宋体" w:cs="宋体"/>
          <w:sz w:val="21"/>
          <w:szCs w:val="21"/>
        </w:rPr>
      </w:pPr>
      <w:r>
        <w:rPr>
          <w:rFonts w:hint="eastAsia" w:ascii="宋体" w:hAnsi="宋体" w:eastAsia="宋体" w:cs="宋体"/>
          <w:sz w:val="21"/>
          <w:szCs w:val="21"/>
        </w:rPr>
        <w:t>（1）由意外事故、错用、滥用、疏忽、不当应用或改装、或不可抗力造成的损害；或因最终用户未依照操作/产品说明使用设备、未保持厂家建议的运行环境和电源条件或任何其他非乙方原因导致的损害；</w:t>
      </w:r>
    </w:p>
    <w:p w14:paraId="7CF8EB8A">
      <w:pPr>
        <w:spacing w:line="360" w:lineRule="auto"/>
        <w:rPr>
          <w:rFonts w:ascii="宋体" w:hAnsi="宋体" w:eastAsia="宋体" w:cs="宋体"/>
          <w:sz w:val="21"/>
          <w:szCs w:val="21"/>
        </w:rPr>
      </w:pPr>
      <w:r>
        <w:rPr>
          <w:rFonts w:hint="eastAsia" w:ascii="宋体" w:hAnsi="宋体" w:eastAsia="宋体" w:cs="宋体"/>
          <w:sz w:val="21"/>
          <w:szCs w:val="21"/>
        </w:rPr>
        <w:t>（2）因最终用户或任何第三方未经乙方授权对设备进行修理、搬移、维修、添加或修改行为造成的故障或缺陷；或因未经乙方事先书面准许而添加和/或使用非乙方提供的备件、设备或软件而造成的故障或缺陷；</w:t>
      </w:r>
    </w:p>
    <w:p w14:paraId="7471138D">
      <w:pPr>
        <w:spacing w:line="360" w:lineRule="auto"/>
        <w:rPr>
          <w:rFonts w:ascii="宋体" w:hAnsi="宋体" w:eastAsia="宋体" w:cs="宋体"/>
          <w:sz w:val="21"/>
          <w:szCs w:val="21"/>
        </w:rPr>
      </w:pPr>
      <w:r>
        <w:rPr>
          <w:rFonts w:hint="eastAsia" w:ascii="宋体" w:hAnsi="宋体" w:eastAsia="宋体" w:cs="宋体"/>
          <w:sz w:val="21"/>
          <w:szCs w:val="21"/>
        </w:rPr>
        <w:t>（3）因最终用户或任何第三方在本合同生效前对设备进行的任何修理或维修所造成的故障或缺陷；或在本合同生效前设备已有的故障或缺陷；或</w:t>
      </w:r>
    </w:p>
    <w:p w14:paraId="31080355">
      <w:pPr>
        <w:spacing w:line="360" w:lineRule="auto"/>
        <w:rPr>
          <w:rFonts w:ascii="宋体" w:hAnsi="宋体" w:eastAsia="宋体" w:cs="宋体"/>
          <w:sz w:val="21"/>
          <w:szCs w:val="21"/>
        </w:rPr>
      </w:pPr>
      <w:r>
        <w:rPr>
          <w:rFonts w:hint="eastAsia" w:ascii="宋体" w:hAnsi="宋体" w:eastAsia="宋体" w:cs="宋体"/>
          <w:sz w:val="21"/>
          <w:szCs w:val="21"/>
        </w:rPr>
        <w:t>（4）非乙方生产的设备/产品、备件或软件、网络引起的故障。</w:t>
      </w:r>
    </w:p>
    <w:p w14:paraId="1B749824">
      <w:pPr>
        <w:spacing w:line="360" w:lineRule="auto"/>
        <w:rPr>
          <w:rFonts w:ascii="宋体" w:hAnsi="宋体" w:eastAsia="宋体" w:cs="宋体"/>
          <w:sz w:val="21"/>
          <w:szCs w:val="21"/>
        </w:rPr>
      </w:pPr>
      <w:r>
        <w:rPr>
          <w:rFonts w:hint="eastAsia" w:ascii="宋体" w:hAnsi="宋体" w:eastAsia="宋体" w:cs="宋体"/>
          <w:sz w:val="21"/>
          <w:szCs w:val="21"/>
        </w:rPr>
        <w:t>2.8甲方知悉并保证：本合同生效的前提条件是甲方已获得签署本合同的相关授权，有权自行或代表最终用户委托乙方提供本合同约定的服务；因此，如本合同签署后，甲方以未得到最终用户授权或未与最终用户签署合同为由要求提前终止或变更本合同的，或者因甲方未得到上述授权导致本合同无法继续履行或无效的，均视为甲方违约，乙方有权按照违约责任条款追究甲方责任。</w:t>
      </w:r>
    </w:p>
    <w:p w14:paraId="62FD62C2">
      <w:pPr>
        <w:spacing w:line="360" w:lineRule="auto"/>
        <w:rPr>
          <w:rFonts w:ascii="宋体" w:hAnsi="宋体" w:eastAsia="宋体" w:cs="宋体"/>
          <w:b/>
          <w:bCs/>
          <w:sz w:val="21"/>
          <w:szCs w:val="21"/>
        </w:rPr>
      </w:pPr>
      <w:r>
        <w:rPr>
          <w:rFonts w:hint="eastAsia" w:ascii="宋体" w:hAnsi="宋体" w:eastAsia="宋体" w:cs="宋体"/>
          <w:b/>
          <w:bCs/>
          <w:sz w:val="21"/>
          <w:szCs w:val="21"/>
        </w:rPr>
        <w:t>3.乙方义务</w:t>
      </w:r>
    </w:p>
    <w:p w14:paraId="2DC2A9D5">
      <w:pPr>
        <w:spacing w:line="360" w:lineRule="auto"/>
        <w:rPr>
          <w:rFonts w:ascii="宋体" w:hAnsi="宋体" w:eastAsia="宋体" w:cs="宋体"/>
          <w:sz w:val="21"/>
          <w:szCs w:val="21"/>
        </w:rPr>
      </w:pPr>
      <w:r>
        <w:rPr>
          <w:rFonts w:hint="eastAsia" w:ascii="宋体" w:hAnsi="宋体" w:eastAsia="宋体" w:cs="宋体"/>
          <w:sz w:val="21"/>
          <w:szCs w:val="21"/>
        </w:rPr>
        <w:t>3.1乙方在规定的常规正常工作时间内为最终用户提供维保服务。</w:t>
      </w:r>
    </w:p>
    <w:p w14:paraId="1FFA25CD">
      <w:pPr>
        <w:spacing w:line="360" w:lineRule="auto"/>
        <w:rPr>
          <w:rFonts w:ascii="宋体" w:hAnsi="宋体" w:eastAsia="宋体" w:cs="宋体"/>
          <w:sz w:val="21"/>
          <w:szCs w:val="21"/>
        </w:rPr>
      </w:pPr>
      <w:r>
        <w:rPr>
          <w:rFonts w:hint="eastAsia" w:ascii="宋体" w:hAnsi="宋体" w:eastAsia="宋体" w:cs="宋体"/>
          <w:sz w:val="21"/>
          <w:szCs w:val="21"/>
        </w:rPr>
        <w:t>3.2乙方负责按合同约定的内容提供服务并根据最终用户需求响应的实际情况自行决定在线远程支持、上门现场服务或其他方式提供如下一种或多种服务：</w:t>
      </w:r>
    </w:p>
    <w:p w14:paraId="5A88DFA5">
      <w:pPr>
        <w:spacing w:line="360" w:lineRule="auto"/>
        <w:rPr>
          <w:rFonts w:ascii="宋体" w:hAnsi="宋体" w:eastAsia="宋体" w:cs="宋体"/>
          <w:sz w:val="21"/>
          <w:szCs w:val="21"/>
        </w:rPr>
      </w:pPr>
      <w:r>
        <w:rPr>
          <w:rFonts w:hint="eastAsia" w:ascii="宋体" w:hAnsi="宋体" w:eastAsia="宋体" w:cs="宋体"/>
          <w:sz w:val="21"/>
          <w:szCs w:val="21"/>
        </w:rPr>
        <w:t>（1）维修热线：400-6866-088，乙方的响应时间为在收到甲方或最终用户报修电话后2小时。响应时间指乙方使用各种可能的手段或方式开始排除医疗设备故障的时间。</w:t>
      </w:r>
    </w:p>
    <w:p w14:paraId="4FF8A34B">
      <w:pPr>
        <w:spacing w:line="360" w:lineRule="auto"/>
        <w:rPr>
          <w:rFonts w:ascii="宋体" w:hAnsi="宋体" w:eastAsia="宋体" w:cs="宋体"/>
          <w:sz w:val="21"/>
          <w:szCs w:val="21"/>
        </w:rPr>
      </w:pPr>
      <w:r>
        <w:rPr>
          <w:rFonts w:hint="eastAsia" w:ascii="宋体" w:hAnsi="宋体" w:eastAsia="宋体" w:cs="宋体"/>
          <w:sz w:val="21"/>
          <w:szCs w:val="21"/>
        </w:rPr>
        <w:t>（2）乙方提供在线技术支持，协助最终用户分析和判断设备故障，及时制定维修方案。</w:t>
      </w:r>
    </w:p>
    <w:p w14:paraId="109D52BC">
      <w:pPr>
        <w:spacing w:line="360" w:lineRule="auto"/>
        <w:rPr>
          <w:rFonts w:ascii="宋体" w:hAnsi="宋体" w:eastAsia="宋体" w:cs="宋体"/>
          <w:sz w:val="21"/>
          <w:szCs w:val="21"/>
        </w:rPr>
      </w:pPr>
      <w:r>
        <w:rPr>
          <w:rFonts w:hint="eastAsia" w:ascii="宋体" w:hAnsi="宋体" w:eastAsia="宋体" w:cs="宋体"/>
          <w:sz w:val="21"/>
          <w:szCs w:val="21"/>
        </w:rPr>
        <w:t>（3）如通过在线技术支持无法完成服务，乙方应派人员在48小时之内到达设备现场。服务由乙方认证合格的专业工程师或经乙方培训的特约维修团队提供。</w:t>
      </w:r>
    </w:p>
    <w:p w14:paraId="7E7BABA4">
      <w:pPr>
        <w:spacing w:line="360" w:lineRule="auto"/>
        <w:rPr>
          <w:rFonts w:ascii="宋体" w:hAnsi="宋体" w:eastAsia="宋体" w:cs="宋体"/>
          <w:sz w:val="21"/>
          <w:szCs w:val="21"/>
        </w:rPr>
      </w:pPr>
      <w:r>
        <w:rPr>
          <w:rFonts w:hint="eastAsia" w:ascii="宋体" w:hAnsi="宋体" w:eastAsia="宋体" w:cs="宋体"/>
          <w:sz w:val="21"/>
          <w:szCs w:val="21"/>
        </w:rPr>
        <w:t>3.3开机率保证（仅适用于服务内容中包含了保证开机率的设备）：在维保服务期限内，保证设备每年95%的开机率（停机时间少于5%），计算标准为一年365天；如果此开机率因乙方原因没有达到，则对于开机率，每低于一天（不足一天按一天计算），合同期限将相应延长1天。以下情况导致的将视为设备是正常运行的（即不作为“停机”）：（1）乙方预防性保养期间；（2）乙方已安排对设备进行维修以使其正常运行，但是最终用户拒绝维修或推迟维修；(3)设备未被提供给乙方工程师维修；(3)设备因为以下原因或与此相关的原因而停机：(i)错用、过失或操作错误，(ii)不适当的环境条件（即不符合乙方对环境的要求），包括在温度和湿度的要求、对电源的要求，如电压、频率、脉冲或瞬间电流的要求，(iii)上述第2.8条项下的任何情形，或(iv)不可抗力事件。如果设备不能正常运行，甲方或最终用户应立即通知乙方客户服务中心报修。停机时间自向乙方发出上述通知之时起算或设备停止运行、不能被用来治疗和诊断病人开始（以较晚值为准），到可再次运行为止。</w:t>
      </w:r>
    </w:p>
    <w:p w14:paraId="6974BF5E">
      <w:pPr>
        <w:spacing w:line="360" w:lineRule="auto"/>
        <w:rPr>
          <w:rFonts w:ascii="宋体" w:hAnsi="宋体" w:eastAsia="宋体" w:cs="宋体"/>
          <w:sz w:val="21"/>
          <w:szCs w:val="21"/>
        </w:rPr>
      </w:pPr>
      <w:r>
        <w:rPr>
          <w:rFonts w:hint="eastAsia" w:ascii="宋体" w:hAnsi="宋体" w:eastAsia="宋体" w:cs="宋体"/>
          <w:sz w:val="21"/>
          <w:szCs w:val="21"/>
        </w:rPr>
        <w:t>3.4如按照合同约定乙方提供更换备件服务的，乙方保证其更换的备件在更换时设计和工艺无缺陷，且符合原厂性能指标要求；如有不符，乙方应负责更换。上述服务中更换下来的备件归属乙方所有。</w:t>
      </w:r>
    </w:p>
    <w:p w14:paraId="3EDE5EAD">
      <w:pPr>
        <w:spacing w:line="360" w:lineRule="auto"/>
        <w:rPr>
          <w:rFonts w:ascii="宋体" w:hAnsi="宋体" w:eastAsia="宋体" w:cs="宋体"/>
          <w:b/>
          <w:bCs/>
          <w:sz w:val="21"/>
          <w:szCs w:val="21"/>
        </w:rPr>
      </w:pPr>
      <w:r>
        <w:rPr>
          <w:rFonts w:hint="eastAsia" w:ascii="宋体" w:hAnsi="宋体" w:eastAsia="宋体" w:cs="宋体"/>
          <w:b/>
          <w:bCs/>
          <w:sz w:val="21"/>
          <w:szCs w:val="21"/>
        </w:rPr>
        <w:t>4.保密</w:t>
      </w:r>
    </w:p>
    <w:p w14:paraId="73E2F168">
      <w:pPr>
        <w:spacing w:line="360" w:lineRule="auto"/>
        <w:rPr>
          <w:rFonts w:ascii="宋体" w:hAnsi="宋体" w:eastAsia="宋体" w:cs="宋体"/>
          <w:sz w:val="21"/>
          <w:szCs w:val="21"/>
        </w:rPr>
      </w:pPr>
      <w:r>
        <w:rPr>
          <w:rFonts w:hint="eastAsia" w:ascii="宋体" w:hAnsi="宋体" w:eastAsia="宋体" w:cs="宋体"/>
          <w:sz w:val="21"/>
          <w:szCs w:val="21"/>
        </w:rPr>
        <w:t>4.1合同双方承诺并同意：对于本合同服务费及付款条件、一方在磋商、签订、履行本合同的整个过程中获得另一方的商务、财务、技术、产品的信息、用户资料或其他标明保密的文件或信息的内容（以下简称“保密信息”）将采取合理的保密措施进行保密。</w:t>
      </w:r>
    </w:p>
    <w:p w14:paraId="64540576">
      <w:pPr>
        <w:spacing w:line="360" w:lineRule="auto"/>
        <w:rPr>
          <w:rFonts w:ascii="宋体" w:hAnsi="宋体" w:eastAsia="宋体" w:cs="宋体"/>
          <w:sz w:val="21"/>
          <w:szCs w:val="21"/>
        </w:rPr>
      </w:pPr>
      <w:r>
        <w:rPr>
          <w:rFonts w:hint="eastAsia" w:ascii="宋体" w:hAnsi="宋体" w:eastAsia="宋体" w:cs="宋体"/>
          <w:sz w:val="21"/>
          <w:szCs w:val="21"/>
        </w:rPr>
        <w:t>4.2除为实现本合同的目的外，保密信息接收方（以下简称“接收方”）不得复制或使用保密信息，接收方仅可向其确有知悉必要的雇员披露另一方提供的保密信息，但同时须确保其雇员遵守本条规定的保密义务。</w:t>
      </w:r>
    </w:p>
    <w:p w14:paraId="06626240">
      <w:pPr>
        <w:spacing w:line="360" w:lineRule="auto"/>
        <w:rPr>
          <w:rFonts w:ascii="宋体" w:hAnsi="宋体" w:eastAsia="宋体" w:cs="宋体"/>
          <w:sz w:val="21"/>
          <w:szCs w:val="21"/>
        </w:rPr>
      </w:pPr>
      <w:r>
        <w:rPr>
          <w:rFonts w:hint="eastAsia" w:ascii="宋体" w:hAnsi="宋体" w:eastAsia="宋体" w:cs="宋体"/>
          <w:sz w:val="21"/>
          <w:szCs w:val="21"/>
        </w:rPr>
        <w:t>4.3除本合同另有规定外，接收方未经披露方事先的书面同意，不得披露、反向工程、反向组装、重建任何保密信息或向任何第三方提供任何保密信息。</w:t>
      </w:r>
    </w:p>
    <w:p w14:paraId="075FF7B0">
      <w:pPr>
        <w:spacing w:line="360" w:lineRule="auto"/>
        <w:rPr>
          <w:rFonts w:ascii="宋体" w:hAnsi="宋体" w:eastAsia="宋体" w:cs="宋体"/>
          <w:sz w:val="21"/>
          <w:szCs w:val="21"/>
        </w:rPr>
      </w:pPr>
      <w:r>
        <w:rPr>
          <w:rFonts w:hint="eastAsia" w:ascii="宋体" w:hAnsi="宋体" w:eastAsia="宋体" w:cs="宋体"/>
          <w:sz w:val="21"/>
          <w:szCs w:val="21"/>
        </w:rPr>
        <w:t>4.4本条约定的保密义务期限至保密信息公开时为止。保密义务在合同期满、解除或终止后仍然有效。</w:t>
      </w:r>
    </w:p>
    <w:p w14:paraId="07ADC487">
      <w:pPr>
        <w:spacing w:line="360" w:lineRule="auto"/>
        <w:rPr>
          <w:rFonts w:ascii="宋体" w:hAnsi="宋体" w:eastAsia="宋体" w:cs="宋体"/>
          <w:sz w:val="21"/>
          <w:szCs w:val="21"/>
        </w:rPr>
      </w:pPr>
      <w:r>
        <w:rPr>
          <w:rFonts w:hint="eastAsia" w:ascii="宋体" w:hAnsi="宋体" w:eastAsia="宋体" w:cs="宋体"/>
          <w:sz w:val="21"/>
          <w:szCs w:val="21"/>
        </w:rPr>
        <w:t>4.5本条项下的保密义务不适用于披露时已进入公共领域的信息，也不适用于法院令状或法律规定要求披露的情形。</w:t>
      </w:r>
    </w:p>
    <w:p w14:paraId="30591B40">
      <w:pPr>
        <w:spacing w:line="360" w:lineRule="auto"/>
        <w:rPr>
          <w:rFonts w:ascii="宋体" w:hAnsi="宋体" w:eastAsia="宋体" w:cs="宋体"/>
          <w:b/>
          <w:bCs/>
          <w:sz w:val="21"/>
          <w:szCs w:val="21"/>
        </w:rPr>
      </w:pPr>
      <w:r>
        <w:rPr>
          <w:rFonts w:hint="eastAsia" w:ascii="宋体" w:hAnsi="宋体" w:eastAsia="宋体" w:cs="宋体"/>
          <w:b/>
          <w:bCs/>
          <w:sz w:val="21"/>
          <w:szCs w:val="21"/>
        </w:rPr>
        <w:t>5.网络安全与数据保护</w:t>
      </w:r>
    </w:p>
    <w:p w14:paraId="65774688">
      <w:pPr>
        <w:spacing w:line="360" w:lineRule="auto"/>
        <w:rPr>
          <w:rFonts w:ascii="宋体" w:hAnsi="宋体" w:eastAsia="宋体" w:cs="宋体"/>
          <w:sz w:val="21"/>
          <w:szCs w:val="21"/>
        </w:rPr>
      </w:pPr>
      <w:r>
        <w:rPr>
          <w:rFonts w:hint="eastAsia" w:ascii="宋体" w:hAnsi="宋体" w:eastAsia="宋体" w:cs="宋体"/>
          <w:sz w:val="21"/>
          <w:szCs w:val="21"/>
        </w:rPr>
        <w:t>5.1甲方及最终用户知悉乙方可因履行本合同之必要收集医疗影像信息（为避免歧义，患者影像信息的原始图像应由甲方或最终用户保存，设备仅提供短期存储功能）。基于最小必要原则，甲方或最终用户提供的影像信息应当不包括直接或间接识别患者身份的个人信息，例如患者的姓名、照片、出生日期、证件号码、联系方式、家庭住址、病历号、CT/MR具体的操作时间等。若前述个人信息的提供是必需的，甲方或最终用户应当为传递个人信息的合法性创设前提条件（包括但不限于满足可适用的数据保护或网络安全法律法规的告知或同意）。该等情形下，各方作为独立的数据处理者对己方对个人信息的数据处理行为（包括但不限于收集、分享、分析、处理和存储）的合法性、合规性和规范性承担独立责任。</w:t>
      </w:r>
    </w:p>
    <w:p w14:paraId="2BD9B8E8">
      <w:pPr>
        <w:spacing w:line="360" w:lineRule="auto"/>
        <w:rPr>
          <w:rFonts w:ascii="宋体" w:hAnsi="宋体" w:eastAsia="宋体" w:cs="宋体"/>
          <w:sz w:val="21"/>
          <w:szCs w:val="21"/>
        </w:rPr>
      </w:pPr>
      <w:r>
        <w:rPr>
          <w:rFonts w:hint="eastAsia" w:ascii="宋体" w:hAnsi="宋体" w:eastAsia="宋体" w:cs="宋体"/>
          <w:sz w:val="21"/>
          <w:szCs w:val="21"/>
        </w:rPr>
        <w:t>5.2基于全球共识，互联网可能出现网络故障或受到黑客侵袭，不存在坚不可破的防火墙或安全措施。乙方尽力以合理措施应对可预见的网络攻击或数据泄露，并致力于持续提升设备的安全性能。为了能有效采取前述措施，甲方及最终用户须及时提供必要的权限或许可，并对己方未经授权的行为或者不可预见的网络安全风险承担责任。乙方不保证其软件设备：1）不含缺陷或错误；2）免于互联网攻击或数据泄露；3）不会被恶意软件侵袭；4）不存在安全漏洞；5）免于非授权入侵；或6) 无其他网络安全风险。如果设备发生任何疑似的网络安全事件或漏洞，甲方及最终用户应当立即通知乙方并履行数据保护相关法律法规的通知义务。</w:t>
      </w:r>
    </w:p>
    <w:p w14:paraId="5A976C87">
      <w:pPr>
        <w:spacing w:line="360" w:lineRule="auto"/>
        <w:rPr>
          <w:rFonts w:ascii="宋体" w:hAnsi="宋体" w:eastAsia="宋体" w:cs="宋体"/>
          <w:sz w:val="21"/>
          <w:szCs w:val="21"/>
        </w:rPr>
      </w:pPr>
      <w:r>
        <w:rPr>
          <w:rFonts w:hint="eastAsia" w:ascii="宋体" w:hAnsi="宋体" w:eastAsia="宋体" w:cs="宋体"/>
          <w:sz w:val="21"/>
          <w:szCs w:val="21"/>
        </w:rPr>
        <w:t>5.3任何一方因违反本条款而引起的另一方任何实际遭受的损害，应对另一方承担赔偿责任，如果因违反本条款而对数据主体或其他第三方造成损害事由，违约方应当保证守约方不受损害，且守约方有权追偿与违约方责任相对应的赔偿部分。</w:t>
      </w:r>
    </w:p>
    <w:p w14:paraId="7E2B657C">
      <w:pPr>
        <w:spacing w:line="360" w:lineRule="auto"/>
        <w:rPr>
          <w:rFonts w:ascii="宋体" w:hAnsi="宋体" w:eastAsia="宋体" w:cs="宋体"/>
          <w:b/>
          <w:bCs/>
          <w:sz w:val="21"/>
          <w:szCs w:val="21"/>
        </w:rPr>
      </w:pPr>
      <w:r>
        <w:rPr>
          <w:rFonts w:hint="eastAsia" w:ascii="宋体" w:hAnsi="宋体" w:eastAsia="宋体" w:cs="宋体"/>
          <w:b/>
          <w:bCs/>
          <w:sz w:val="21"/>
          <w:szCs w:val="21"/>
        </w:rPr>
        <w:t>6.合同的变更和转让/转包</w:t>
      </w:r>
    </w:p>
    <w:p w14:paraId="61E13C35">
      <w:pPr>
        <w:spacing w:line="360" w:lineRule="auto"/>
        <w:rPr>
          <w:rFonts w:ascii="宋体" w:hAnsi="宋体" w:eastAsia="宋体" w:cs="宋体"/>
          <w:sz w:val="21"/>
          <w:szCs w:val="21"/>
        </w:rPr>
      </w:pPr>
      <w:r>
        <w:rPr>
          <w:rFonts w:hint="eastAsia" w:ascii="宋体" w:hAnsi="宋体" w:eastAsia="宋体" w:cs="宋体"/>
          <w:sz w:val="21"/>
          <w:szCs w:val="21"/>
        </w:rPr>
        <w:t>合同有效期内，任何一方不得擅自变更合同的权利和义务，除非双方以书面的形式确认。但为履行本合同之目的，乙方可以将本合同的部分或全部转让给其关联公司或授权的维修商。</w:t>
      </w:r>
    </w:p>
    <w:p w14:paraId="18CFA854">
      <w:pPr>
        <w:spacing w:line="360" w:lineRule="auto"/>
        <w:rPr>
          <w:rFonts w:ascii="宋体" w:hAnsi="宋体" w:eastAsia="宋体" w:cs="宋体"/>
          <w:b/>
          <w:bCs/>
          <w:sz w:val="21"/>
          <w:szCs w:val="21"/>
        </w:rPr>
      </w:pPr>
      <w:r>
        <w:rPr>
          <w:rFonts w:hint="eastAsia" w:ascii="宋体" w:hAnsi="宋体" w:eastAsia="宋体" w:cs="宋体"/>
          <w:b/>
          <w:bCs/>
          <w:sz w:val="21"/>
          <w:szCs w:val="21"/>
        </w:rPr>
        <w:t>7.不可抗力</w:t>
      </w:r>
    </w:p>
    <w:p w14:paraId="717967A5">
      <w:pPr>
        <w:spacing w:line="360" w:lineRule="auto"/>
        <w:rPr>
          <w:rFonts w:ascii="宋体" w:hAnsi="宋体" w:eastAsia="宋体" w:cs="宋体"/>
          <w:sz w:val="21"/>
          <w:szCs w:val="21"/>
        </w:rPr>
      </w:pPr>
      <w:r>
        <w:rPr>
          <w:rFonts w:hint="eastAsia" w:ascii="宋体" w:hAnsi="宋体" w:eastAsia="宋体" w:cs="宋体"/>
          <w:sz w:val="21"/>
          <w:szCs w:val="21"/>
        </w:rPr>
        <w:t>任何一方由于不可抗力的原因不能履行合同义务时，应及时向对方书面通知不能履行或者不能完全履行的理由，在不可抗力情形消除后15天内，遭遇不可抗力的一方应向对方提供有关主管机关的证明。对于合同的后续履行由双方根据实际情况协商确定（包括但不限于允许延期履行、部分履行或者不履行合同等），并根据情况可部分或者全部免予承担违约责任。</w:t>
      </w:r>
    </w:p>
    <w:p w14:paraId="598A0992">
      <w:pPr>
        <w:spacing w:line="360" w:lineRule="auto"/>
        <w:rPr>
          <w:rFonts w:ascii="宋体" w:hAnsi="宋体" w:eastAsia="宋体" w:cs="宋体"/>
          <w:b/>
          <w:bCs/>
          <w:sz w:val="21"/>
          <w:szCs w:val="21"/>
        </w:rPr>
      </w:pPr>
      <w:r>
        <w:rPr>
          <w:rFonts w:hint="eastAsia" w:ascii="宋体" w:hAnsi="宋体" w:eastAsia="宋体" w:cs="宋体"/>
          <w:b/>
          <w:bCs/>
          <w:sz w:val="21"/>
          <w:szCs w:val="21"/>
        </w:rPr>
        <w:t>8.合同终止/解除</w:t>
      </w:r>
    </w:p>
    <w:p w14:paraId="1F9DFDC8">
      <w:pPr>
        <w:spacing w:line="360" w:lineRule="auto"/>
        <w:rPr>
          <w:rFonts w:ascii="宋体" w:hAnsi="宋体" w:eastAsia="宋体" w:cs="宋体"/>
          <w:sz w:val="21"/>
          <w:szCs w:val="21"/>
        </w:rPr>
      </w:pPr>
      <w:r>
        <w:rPr>
          <w:rFonts w:hint="eastAsia" w:ascii="宋体" w:hAnsi="宋体" w:eastAsia="宋体" w:cs="宋体"/>
          <w:sz w:val="21"/>
          <w:szCs w:val="21"/>
        </w:rPr>
        <w:t>8.1未经乙方书面许可，甲方或最终用户擅自拆机、装机、移机、保养及更换来自第三方的备件及耗材，乙方有权单方解除合同，甲方已支付的服务费不予退还，且甲方还应支付合同解除前乙方已经提供服务的相应服务费（如有）。</w:t>
      </w:r>
    </w:p>
    <w:p w14:paraId="0B1DB009">
      <w:pPr>
        <w:spacing w:line="360" w:lineRule="auto"/>
        <w:rPr>
          <w:rFonts w:ascii="宋体" w:hAnsi="宋体" w:eastAsia="宋体" w:cs="宋体"/>
          <w:sz w:val="21"/>
          <w:szCs w:val="21"/>
        </w:rPr>
      </w:pPr>
      <w:r>
        <w:rPr>
          <w:rFonts w:hint="eastAsia" w:ascii="宋体" w:hAnsi="宋体" w:eastAsia="宋体" w:cs="宋体"/>
          <w:sz w:val="21"/>
          <w:szCs w:val="21"/>
        </w:rPr>
        <w:t>8.2除合同另有约定外，如果合同双方中任意一方有合理原因需要终止或修改合同的，必须以书面形式提前一个月通知对方，经双方协商一致后，合同终止或修改方可生效。对终止或修改合同生效日期之前乙方已经提供的服务，甲方仍有义务支付相应服务费。对于非乙方违约导致的提前终止合同，如在合同签署时乙方给予了甲方价格优惠的，甲方应按约定补足价格差额并赔偿因此造成的乙方损失。</w:t>
      </w:r>
    </w:p>
    <w:p w14:paraId="0CF6FC99">
      <w:pPr>
        <w:spacing w:line="360" w:lineRule="auto"/>
        <w:rPr>
          <w:rFonts w:ascii="宋体" w:hAnsi="宋体" w:eastAsia="宋体" w:cs="宋体"/>
          <w:b/>
          <w:bCs/>
          <w:sz w:val="21"/>
          <w:szCs w:val="21"/>
        </w:rPr>
      </w:pPr>
      <w:r>
        <w:rPr>
          <w:rFonts w:hint="eastAsia" w:ascii="宋体" w:hAnsi="宋体" w:eastAsia="宋体" w:cs="宋体"/>
          <w:b/>
          <w:bCs/>
          <w:sz w:val="21"/>
          <w:szCs w:val="21"/>
        </w:rPr>
        <w:t>9.责任限制</w:t>
      </w:r>
    </w:p>
    <w:p w14:paraId="7A453D50">
      <w:pPr>
        <w:spacing w:line="360" w:lineRule="auto"/>
        <w:rPr>
          <w:rFonts w:ascii="宋体" w:hAnsi="宋体" w:eastAsia="宋体" w:cs="宋体"/>
          <w:sz w:val="21"/>
          <w:szCs w:val="21"/>
        </w:rPr>
      </w:pPr>
      <w:r>
        <w:rPr>
          <w:rFonts w:hint="eastAsia" w:ascii="宋体" w:hAnsi="宋体" w:eastAsia="宋体" w:cs="宋体"/>
          <w:sz w:val="21"/>
          <w:szCs w:val="21"/>
        </w:rPr>
        <w:t>9.1在本合同下及与本合同履行相关的任何情形下，乙方对甲方、最终用户及第三方承担的全部损害赔偿责任或者其他责任，不应超过本合同总价，并应于维保服务期限届满之日终止。同时，乙方对于因甲方或最终用户误用产品、意外事故、灾难及甲方或最终用户的疏忽、滥用、不当的操作、数据泄露、测试或者安装以及甲方或最终用户或者第三者改装、调整或者维修引起的任何缺陷不承担责任。</w:t>
      </w:r>
    </w:p>
    <w:p w14:paraId="4D4E2E0F">
      <w:pPr>
        <w:spacing w:line="360" w:lineRule="auto"/>
        <w:rPr>
          <w:rFonts w:ascii="宋体" w:hAnsi="宋体" w:eastAsia="宋体" w:cs="宋体"/>
          <w:sz w:val="21"/>
          <w:szCs w:val="21"/>
        </w:rPr>
      </w:pPr>
      <w:r>
        <w:rPr>
          <w:rFonts w:hint="eastAsia" w:ascii="宋体" w:hAnsi="宋体" w:eastAsia="宋体" w:cs="宋体"/>
          <w:sz w:val="21"/>
          <w:szCs w:val="21"/>
        </w:rPr>
        <w:t>9.2乙方在任何情形下不承担任何形式的伴随性、间接性、惩罚性或者特殊的损失或者损害赔偿，包括但不限于商业收入损失、商誉损失、利润损失或者停工期成本等。</w:t>
      </w:r>
    </w:p>
    <w:p w14:paraId="4B49C300">
      <w:pPr>
        <w:spacing w:line="360" w:lineRule="auto"/>
        <w:rPr>
          <w:rFonts w:ascii="宋体" w:hAnsi="宋体" w:eastAsia="宋体" w:cs="宋体"/>
          <w:sz w:val="21"/>
          <w:szCs w:val="21"/>
        </w:rPr>
      </w:pPr>
      <w:r>
        <w:rPr>
          <w:rFonts w:hint="eastAsia" w:ascii="宋体" w:hAnsi="宋体" w:eastAsia="宋体" w:cs="宋体"/>
          <w:sz w:val="21"/>
          <w:szCs w:val="21"/>
        </w:rPr>
        <w:t>9.3本第9条约定应同样适用于：乙方的人员、乙方授权的服务商及其人员和被许可者及其人员。</w:t>
      </w:r>
    </w:p>
    <w:p w14:paraId="67CAB0C3">
      <w:pPr>
        <w:spacing w:line="360" w:lineRule="auto"/>
        <w:rPr>
          <w:rFonts w:ascii="宋体" w:hAnsi="宋体" w:eastAsia="宋体" w:cs="宋体"/>
          <w:b/>
          <w:bCs/>
          <w:sz w:val="21"/>
          <w:szCs w:val="21"/>
        </w:rPr>
      </w:pPr>
      <w:r>
        <w:rPr>
          <w:rFonts w:hint="eastAsia" w:ascii="宋体" w:hAnsi="宋体" w:eastAsia="宋体" w:cs="宋体"/>
          <w:b/>
          <w:bCs/>
          <w:sz w:val="21"/>
          <w:szCs w:val="21"/>
        </w:rPr>
        <w:t>10.通知</w:t>
      </w:r>
    </w:p>
    <w:p w14:paraId="65EC19E8">
      <w:pPr>
        <w:spacing w:line="360" w:lineRule="auto"/>
        <w:rPr>
          <w:rFonts w:ascii="宋体" w:hAnsi="宋体" w:eastAsia="宋体" w:cs="宋体"/>
          <w:sz w:val="21"/>
          <w:szCs w:val="21"/>
        </w:rPr>
      </w:pPr>
      <w:r>
        <w:rPr>
          <w:rFonts w:hint="eastAsia" w:ascii="宋体" w:hAnsi="宋体" w:eastAsia="宋体" w:cs="宋体"/>
          <w:sz w:val="21"/>
          <w:szCs w:val="21"/>
        </w:rPr>
        <w:t>10.1根据本合同需要发出的全部通知均采用书面形式，以亲自递交、邮寄或电子邮件等方式送达对方。双方在本合同文首中载明的地址适用于本合同相关的各类通知、协议、文书的送达，包括但不限于合同履行期间各类通知、协议等文件的送达，以及合同发生纠纷时相关文件和法律文书的送达。</w:t>
      </w:r>
    </w:p>
    <w:p w14:paraId="2DAAB6CB">
      <w:pPr>
        <w:spacing w:line="360" w:lineRule="auto"/>
        <w:rPr>
          <w:rFonts w:ascii="宋体" w:hAnsi="宋体" w:eastAsia="宋体" w:cs="宋体"/>
          <w:sz w:val="21"/>
          <w:szCs w:val="21"/>
        </w:rPr>
      </w:pPr>
      <w:r>
        <w:rPr>
          <w:rFonts w:hint="eastAsia" w:ascii="宋体" w:hAnsi="宋体" w:eastAsia="宋体" w:cs="宋体"/>
          <w:sz w:val="21"/>
          <w:szCs w:val="21"/>
        </w:rPr>
        <w:t>10.2双方均负有回应对方发出的通知的义务。所有通知和往来通讯将被认为是于下列日期正式送达被通知方并为其所知悉：若采用亲自递交的方式，则以被通知方收到该通知的日期为准；若采用快递的方式，则以交邮后的第5个工作日为准；若采用电子邮件的方式，则以发送方电子邮箱显示发送成功的时间为准。</w:t>
      </w:r>
    </w:p>
    <w:p w14:paraId="0933579A">
      <w:pPr>
        <w:spacing w:line="360" w:lineRule="auto"/>
        <w:rPr>
          <w:rFonts w:ascii="宋体" w:hAnsi="宋体" w:eastAsia="宋体" w:cs="宋体"/>
          <w:sz w:val="21"/>
          <w:szCs w:val="21"/>
        </w:rPr>
      </w:pPr>
      <w:r>
        <w:rPr>
          <w:rFonts w:hint="eastAsia" w:ascii="宋体" w:hAnsi="宋体" w:eastAsia="宋体" w:cs="宋体"/>
          <w:sz w:val="21"/>
          <w:szCs w:val="21"/>
        </w:rPr>
        <w:t>10.3一方变更通讯地址或者联系方式的，应及时将变更后的地址、联系方式按上述通知方式以书面形式通知对方，否则变更方应对此造成的一切后果承担责任。</w:t>
      </w:r>
    </w:p>
    <w:p w14:paraId="11B457DC">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11.违约责任</w:t>
      </w:r>
    </w:p>
    <w:p w14:paraId="5344A218">
      <w:pPr>
        <w:spacing w:line="360" w:lineRule="auto"/>
        <w:rPr>
          <w:rFonts w:hint="eastAsia" w:ascii="宋体" w:hAnsi="宋体" w:eastAsia="宋体" w:cs="宋体"/>
          <w:sz w:val="21"/>
          <w:szCs w:val="21"/>
          <w:lang w:val="en-US" w:eastAsia="zh-CN"/>
        </w:rPr>
      </w:pPr>
      <w:r>
        <w:rPr>
          <w:rFonts w:hint="eastAsia" w:cs="宋体"/>
          <w:sz w:val="21"/>
          <w:szCs w:val="21"/>
          <w:lang w:val="en-US" w:eastAsia="zh-CN"/>
        </w:rPr>
        <w:t>11.1</w:t>
      </w:r>
      <w:r>
        <w:rPr>
          <w:rFonts w:hint="eastAsia" w:ascii="宋体" w:hAnsi="宋体" w:eastAsia="宋体" w:cs="宋体"/>
          <w:sz w:val="21"/>
          <w:szCs w:val="21"/>
          <w:lang w:val="en-US" w:eastAsia="zh-CN"/>
        </w:rPr>
        <w:t>除不可抗力或乙方不可能控制的因素导致的情形外，因为乙方无故不履行合同或者履行合同不符合约定给甲方造成损失的，乙方负责赔偿直接损失，该损失赔偿额最高不超过本合同签署时双方约定的合同价款。</w:t>
      </w:r>
    </w:p>
    <w:p w14:paraId="0E7F23B4">
      <w:pPr>
        <w:spacing w:line="360" w:lineRule="auto"/>
        <w:rPr>
          <w:rFonts w:hint="eastAsia" w:ascii="宋体" w:hAnsi="宋体" w:eastAsia="宋体" w:cs="宋体"/>
          <w:sz w:val="21"/>
          <w:szCs w:val="21"/>
        </w:rPr>
      </w:pPr>
      <w:r>
        <w:rPr>
          <w:rFonts w:hint="eastAsia" w:cs="宋体"/>
          <w:sz w:val="21"/>
          <w:szCs w:val="21"/>
          <w:lang w:val="en-US" w:eastAsia="zh-CN"/>
        </w:rPr>
        <w:t>11.2</w:t>
      </w:r>
      <w:r>
        <w:rPr>
          <w:rFonts w:hint="eastAsia" w:ascii="宋体" w:hAnsi="宋体" w:eastAsia="宋体" w:cs="宋体"/>
          <w:sz w:val="21"/>
          <w:szCs w:val="21"/>
          <w:lang w:val="en-US" w:eastAsia="zh-CN"/>
        </w:rPr>
        <w:t>如因甲方或其代表使用不当（如违反操作手册所载规程操作）等原因而使乙方额外提供劳务或更换备件，乙方有权要求甲方承担因此发生的相关费用。</w:t>
      </w:r>
    </w:p>
    <w:p w14:paraId="251B7DD8">
      <w:pPr>
        <w:spacing w:line="360" w:lineRule="auto"/>
        <w:rPr>
          <w:rFonts w:ascii="宋体" w:hAnsi="宋体" w:eastAsia="宋体" w:cs="宋体"/>
          <w:b/>
          <w:bCs/>
          <w:sz w:val="21"/>
          <w:szCs w:val="21"/>
        </w:rPr>
      </w:pPr>
      <w:r>
        <w:rPr>
          <w:rFonts w:hint="eastAsia" w:ascii="宋体" w:hAnsi="宋体" w:eastAsia="宋体" w:cs="宋体"/>
          <w:b/>
          <w:bCs/>
          <w:sz w:val="21"/>
          <w:szCs w:val="21"/>
        </w:rPr>
        <w:t>12.法律适用与争议解决</w:t>
      </w:r>
    </w:p>
    <w:p w14:paraId="2AB78955">
      <w:pPr>
        <w:spacing w:line="360" w:lineRule="auto"/>
        <w:rPr>
          <w:rFonts w:ascii="宋体" w:hAnsi="宋体" w:eastAsia="宋体" w:cs="宋体"/>
          <w:sz w:val="21"/>
          <w:szCs w:val="21"/>
        </w:rPr>
      </w:pPr>
      <w:r>
        <w:rPr>
          <w:rFonts w:hint="eastAsia" w:ascii="宋体" w:hAnsi="宋体" w:eastAsia="宋体" w:cs="宋体"/>
          <w:sz w:val="21"/>
          <w:szCs w:val="21"/>
        </w:rPr>
        <w:t>本合同及与本合同相关的一切事项适用中华人民共和国法律。在履行本合同中出现的争议，双方应本着友好协商的原则解决争议。如协商不成时，任何一方均可就争议的事宜向甲方所在地人民法院进行诉讼解决。</w:t>
      </w:r>
    </w:p>
    <w:p w14:paraId="5E1C4EC1">
      <w:pPr>
        <w:spacing w:line="360" w:lineRule="auto"/>
        <w:rPr>
          <w:rFonts w:ascii="宋体" w:hAnsi="宋体" w:eastAsia="宋体" w:cs="宋体"/>
          <w:b/>
          <w:bCs/>
          <w:sz w:val="21"/>
          <w:szCs w:val="21"/>
        </w:rPr>
      </w:pPr>
      <w:r>
        <w:rPr>
          <w:rFonts w:hint="eastAsia" w:ascii="宋体" w:hAnsi="宋体" w:eastAsia="宋体" w:cs="宋体"/>
          <w:b/>
          <w:bCs/>
          <w:sz w:val="21"/>
          <w:szCs w:val="21"/>
        </w:rPr>
        <w:t>13.其他</w:t>
      </w:r>
    </w:p>
    <w:p w14:paraId="2A81D942">
      <w:pPr>
        <w:spacing w:line="360" w:lineRule="auto"/>
        <w:rPr>
          <w:rFonts w:ascii="宋体" w:hAnsi="宋体" w:eastAsia="宋体" w:cs="宋体"/>
          <w:szCs w:val="21"/>
        </w:rPr>
      </w:pPr>
      <w:r>
        <w:rPr>
          <w:rFonts w:hint="eastAsia" w:ascii="宋体" w:hAnsi="宋体" w:eastAsia="宋体" w:cs="宋体"/>
          <w:sz w:val="21"/>
          <w:szCs w:val="21"/>
        </w:rPr>
        <w:t>《维保服务合同》及《一般条款》构成双方之间就本合同所涉及事项达成的全部协议，并取代双方之前和与此同时作出的所有其他声明或通信往来，包括口头的和书面的。本合同未经双方合法授权人员的书面同意不得修改或修订。如果《维保服务合同》与《一般条款》约定不一致时，以《维保服务合同》为准。</w:t>
      </w:r>
      <w:r>
        <w:rPr>
          <w:rFonts w:hint="eastAsia" w:ascii="宋体" w:hAnsi="宋体" w:eastAsia="宋体" w:cs="宋体"/>
          <w:szCs w:val="21"/>
        </w:rPr>
        <w:t> </w:t>
      </w:r>
    </w:p>
    <w:p w14:paraId="755315C6">
      <w:pPr>
        <w:spacing w:line="360" w:lineRule="auto"/>
        <w:rPr>
          <w:sz w:val="21"/>
          <w:szCs w:val="21"/>
        </w:rPr>
      </w:pPr>
      <w:r>
        <w:rPr>
          <w:rFonts w:hint="eastAsia" w:ascii="宋体" w:hAnsi="宋体" w:eastAsia="宋体" w:cs="宋体"/>
          <w:szCs w:val="21"/>
        </w:rPr>
        <w:t>（以下无内容）</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424E3A"/>
    <w:rsid w:val="00013CF7"/>
    <w:rsid w:val="00026D3D"/>
    <w:rsid w:val="000906EF"/>
    <w:rsid w:val="000A005B"/>
    <w:rsid w:val="001029C0"/>
    <w:rsid w:val="00104580"/>
    <w:rsid w:val="00132645"/>
    <w:rsid w:val="00177F41"/>
    <w:rsid w:val="00180B8A"/>
    <w:rsid w:val="001F7414"/>
    <w:rsid w:val="00241DEF"/>
    <w:rsid w:val="002D22E7"/>
    <w:rsid w:val="00300D36"/>
    <w:rsid w:val="00424E3A"/>
    <w:rsid w:val="00437F11"/>
    <w:rsid w:val="004747D8"/>
    <w:rsid w:val="004A368F"/>
    <w:rsid w:val="004C0D81"/>
    <w:rsid w:val="005766C5"/>
    <w:rsid w:val="005A248B"/>
    <w:rsid w:val="005D4A18"/>
    <w:rsid w:val="0067509C"/>
    <w:rsid w:val="007C5993"/>
    <w:rsid w:val="00863FE3"/>
    <w:rsid w:val="009E1823"/>
    <w:rsid w:val="00B54E39"/>
    <w:rsid w:val="00D349E3"/>
    <w:rsid w:val="00D4265B"/>
    <w:rsid w:val="00DA612B"/>
    <w:rsid w:val="00DC5F5F"/>
    <w:rsid w:val="00DD04DE"/>
    <w:rsid w:val="00E211C1"/>
    <w:rsid w:val="00E53C74"/>
    <w:rsid w:val="00EF08B3"/>
    <w:rsid w:val="00EF3A9A"/>
    <w:rsid w:val="00FA3AD2"/>
    <w:rsid w:val="00FA6379"/>
    <w:rsid w:val="048A3876"/>
    <w:rsid w:val="24DF73C1"/>
    <w:rsid w:val="270A5E62"/>
    <w:rsid w:val="2D41708D"/>
    <w:rsid w:val="2E1D237F"/>
    <w:rsid w:val="36356EAC"/>
    <w:rsid w:val="381163AC"/>
    <w:rsid w:val="40171312"/>
    <w:rsid w:val="509372E2"/>
    <w:rsid w:val="58AD04D0"/>
    <w:rsid w:val="5ABA77FD"/>
    <w:rsid w:val="5DE70C0E"/>
    <w:rsid w:val="6ABB4286"/>
    <w:rsid w:val="6B0C0060"/>
    <w:rsid w:val="6BD53EF1"/>
    <w:rsid w:val="6E1F0043"/>
    <w:rsid w:val="6F38715F"/>
    <w:rsid w:val="76885999"/>
    <w:rsid w:val="78B9078B"/>
    <w:rsid w:val="7AA86319"/>
    <w:rsid w:val="7E725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link w:val="10"/>
    <w:qFormat/>
    <w:uiPriority w:val="0"/>
    <w:pPr>
      <w:tabs>
        <w:tab w:val="center" w:pos="4153"/>
        <w:tab w:val="right" w:pos="8306"/>
      </w:tabs>
      <w:snapToGrid w:val="0"/>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4"/>
    <w:qFormat/>
    <w:uiPriority w:val="0"/>
    <w:rPr>
      <w:rFonts w:ascii="宋体" w:hAnsi="宋体" w:cs="宋体"/>
      <w:sz w:val="18"/>
      <w:szCs w:val="18"/>
      <w:lang w:eastAsia="en-US"/>
    </w:rPr>
  </w:style>
  <w:style w:type="character" w:customStyle="1" w:styleId="10">
    <w:name w:val="页脚 Char"/>
    <w:basedOn w:val="8"/>
    <w:link w:val="3"/>
    <w:qFormat/>
    <w:uiPriority w:val="0"/>
    <w:rPr>
      <w:rFonts w:ascii="宋体" w:hAnsi="宋体" w:cs="宋体"/>
      <w:sz w:val="18"/>
      <w:szCs w:val="18"/>
      <w:lang w:eastAsia="en-US"/>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3495</Words>
  <Characters>3632</Characters>
  <Lines>17</Lines>
  <Paragraphs>4</Paragraphs>
  <TotalTime>2</TotalTime>
  <ScaleCrop>false</ScaleCrop>
  <LinksUpToDate>false</LinksUpToDate>
  <CharactersWithSpaces>3688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2023-10-08T08:49:00Z</dcterms:created>
  <dc:creator>Administrator</dc:creator>
  <cp:lastModifiedBy>潘乐</cp:lastModifiedBy>
  <dcterms:modified xsi:type="dcterms:W3CDTF">2025-08-29T06:37:18Z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F4CC971CEBD9416A9D849DD5A5FFB497_12</vt:lpwstr>
  </property>
  <property fmtid="{D5CDD505-2E9C-101B-9397-08002B2CF9AE}" pid="4" name="KSOTemplateDocerSaveRecord">
    <vt:lpwstr>eyJoZGlkIjoiOTM1ZDU5YWY2YWFhNzJlYjNjNTY5ZDQwNTAzNWEwYmMiLCJ1c2VySWQiOiIxNDYyMTI5MzQyIn0=</vt:lpwstr>
  </property>
</Properties>
</file>