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版本号：SDZC2025-15420250829001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2025年阎良区地理信息测绘项目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SDZC2025-154</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2025年阎良区地理信息测绘项目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2025年阎良区地理信息测绘项目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提高土地利用效率，提高城市规划的科学性和准确性，进而促进地方经济发展。根据国家、省、市等文件精神，阎良区需开展地理信息测绘工作。通过开展地形图测绘、宗地道路红线图绘制、规划用地实测、违法建筑实测等工作，可以进一步对城市空间进行测算，提高规划方案的可行性和合理性；可以确保城乡规划的有效执行，及时发现并纠正违反规划的行为，从而确保城乡发展的有序性和可持续性。同时，通过测绘技术对土地进行精确评价和划分，可以为商业和工业布局提供科学依据，吸引投资和优化资源配置，进而促进地方经济的快速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7、行业资质要求：供应商须具有乙级（含）以上测绘资质证书；</w:t>
      </w:r>
    </w:p>
    <w:p>
      <w:pPr>
        <w:pStyle w:val="null3"/>
      </w:pPr>
      <w:r>
        <w:rPr>
          <w:rFonts w:ascii="仿宋_GB2312" w:hAnsi="仿宋_GB2312" w:cs="仿宋_GB2312" w:eastAsia="仿宋_GB2312"/>
        </w:rPr>
        <w:t>8、项目负责人要求：拟派项目负责人须具备注册测绘师执业资格或具有测绘及相关专业高级工程师职称；</w:t>
      </w:r>
    </w:p>
    <w:p>
      <w:pPr>
        <w:pStyle w:val="null3"/>
      </w:pPr>
      <w:r>
        <w:rPr>
          <w:rFonts w:ascii="仿宋_GB2312" w:hAnsi="仿宋_GB2312" w:cs="仿宋_GB2312" w:eastAsia="仿宋_GB2312"/>
        </w:rPr>
        <w:t>9、法定代表人授权委托书：法定代表人授权委托书（附法定代表人身份证复印件、被授权人身份证复印件及被授权人近三个月（2025年6月-8月）在投标单位缴纳社保的证明））；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宋薇（2号工位）、魏蕾、张爱君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汇款账户（1）开户行名称：陕西上德招标有限公司（2）开 户 行：西安银行股份有限公司文景路支行（3）账 号：707011510000013522（4）财务部联系方式：029-86673953、029-86518381、029-89299829、029-89293231 转813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采购人应按照政府采购合同约定的技术、服务、安全标准组织对供应商每一项技术、服务、安全标准的履约情况进行验收，并出具验收书。 验收标准： GB/T18314—2024 全球导航卫星系统（GNSS）测量规范 CJJ/T8-2011《城市测量规范》。 GBT20257.1-2017《国家基本比例尺地图图式第1部分:1︰500 、1︰1000 、1︰2000地形图图式》。 GB/T18316-2008《数字测绘成果质量检查与验收》。 GB/T24356-2009《测绘成果质量检查与验收》。 CJJ/T7-2017《城市工程地球物理探测标准》。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联系电话：029-86673953、86518381、89299829、89293231转802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提高土地利用效率，提高城市规划的科学性和准确性，进而促进地方经济发展。根据国家、省、市等文件精神，阎良区需开展地理信息测绘工作。通过开展地形图测绘、宗地道路红线图绘制、规划用地实测、违法建筑实测等工作，可以进一步对城市空间进行测算，提高规划方案的可行性和合理性；可以确保城乡规划的有效执行，及时发现并纠正违反规划的行为，从而确保城乡发展的有序性和可持续性。同时，通过测绘技术对土地进行精确评价和划分，可以为商业和工业布局提供科学依据，吸引投资和优化资源配置，进而促进地方经济的快速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1,325,000.00</w:t>
      </w:r>
    </w:p>
    <w:p>
      <w:pPr>
        <w:pStyle w:val="null3"/>
      </w:pPr>
      <w:r>
        <w:rPr>
          <w:rFonts w:ascii="仿宋_GB2312" w:hAnsi="仿宋_GB2312" w:cs="仿宋_GB2312" w:eastAsia="仿宋_GB2312"/>
        </w:rPr>
        <w:t>采购包最高限价（元）: 1,325,000.00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2025年阎良区地理信息测绘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标的名称：2025年阎良区地理信息测绘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了提高土地利用效率，提高城市规划的科学性和准确性，进而促进地方经济发展。根据国家、省、市等文件精神，阎良区需开展地理信息测绘工作。通过开展地形图测绘、宗地道路红线图绘制、规划用地实测、违法建筑实测等工作，可以进一步对城市空间进行测算，提高规划方案的可行性和合理性；可以确保城乡规划的有效执行，及时发现并纠正违反规划的行为，从而确保城乡发展的有序性和可持续性。同时，通过测绘技术对土地进行精确评价和划分，可以为商业和工业布局提供科学依据，吸引投资和优化资源配置，进而促进地方经济的快速发展。</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（一）工作范围</w:t>
            </w:r>
          </w:p>
          <w:p>
            <w:pPr>
              <w:pStyle w:val="null3"/>
            </w:pPr>
            <w:r>
              <w:rPr>
                <w:rFonts w:ascii="仿宋_GB2312" w:hAnsi="仿宋_GB2312" w:cs="仿宋_GB2312" w:eastAsia="仿宋_GB2312"/>
              </w:rPr>
              <w:t>工作区域为阎良区行政区域范围。</w:t>
            </w:r>
          </w:p>
          <w:p>
            <w:pPr>
              <w:pStyle w:val="null3"/>
            </w:pPr>
            <w:r>
              <w:rPr>
                <w:rFonts w:ascii="仿宋_GB2312" w:hAnsi="仿宋_GB2312" w:cs="仿宋_GB2312" w:eastAsia="仿宋_GB2312"/>
              </w:rPr>
              <w:t>（二）工作内容</w:t>
            </w:r>
          </w:p>
          <w:p>
            <w:pPr>
              <w:pStyle w:val="null3"/>
            </w:pPr>
            <w:r>
              <w:rPr>
                <w:rFonts w:ascii="仿宋_GB2312" w:hAnsi="仿宋_GB2312" w:cs="仿宋_GB2312" w:eastAsia="仿宋_GB2312"/>
              </w:rPr>
              <w:t>阎良区1:1000（1:500）地形图测绘：主要包括地块边界外放50米范围1:1000（1:500）地形图；宗地道路红线图绘制：主要包括基于西安规划坐标系统的规划道路红线图；规划用地实测：出具《用地（或征地）实测成果表（含附图）》，包括净用地、道路用地、绿化用地的范围和面积；违法建筑实测：根据相关主管部门的要求，完成相关违章建筑的测量任务，做好测量服务保障工作。</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执行技术标准</w:t>
            </w:r>
          </w:p>
          <w:p>
            <w:pPr>
              <w:pStyle w:val="null3"/>
            </w:pPr>
            <w:r>
              <w:rPr>
                <w:rFonts w:ascii="仿宋_GB2312" w:hAnsi="仿宋_GB2312" w:cs="仿宋_GB2312" w:eastAsia="仿宋_GB2312"/>
              </w:rPr>
              <w:t>GB/T18314—2024 全球导航卫星系统（GNSS）测量规范 。</w:t>
            </w:r>
          </w:p>
          <w:p>
            <w:pPr>
              <w:pStyle w:val="null3"/>
            </w:pPr>
            <w:r>
              <w:rPr>
                <w:rFonts w:ascii="仿宋_GB2312" w:hAnsi="仿宋_GB2312" w:cs="仿宋_GB2312" w:eastAsia="仿宋_GB2312"/>
              </w:rPr>
              <w:t>CJJ/T8-2011《城市测量规范》。</w:t>
            </w:r>
          </w:p>
          <w:p>
            <w:pPr>
              <w:pStyle w:val="null3"/>
            </w:pPr>
            <w:r>
              <w:rPr>
                <w:rFonts w:ascii="仿宋_GB2312" w:hAnsi="仿宋_GB2312" w:cs="仿宋_GB2312" w:eastAsia="仿宋_GB2312"/>
              </w:rPr>
              <w:t>GBT20257.1-2017《国家基本比例尺地图图式第1部分:1︰500 、1︰1000 、1︰2000地形图图式》。</w:t>
            </w:r>
          </w:p>
          <w:p>
            <w:pPr>
              <w:pStyle w:val="null3"/>
            </w:pPr>
            <w:r>
              <w:rPr>
                <w:rFonts w:ascii="仿宋_GB2312" w:hAnsi="仿宋_GB2312" w:cs="仿宋_GB2312" w:eastAsia="仿宋_GB2312"/>
              </w:rPr>
              <w:t>GB/T18316-2008《数字测绘成果质量检查与验收》。</w:t>
            </w:r>
          </w:p>
          <w:p>
            <w:pPr>
              <w:pStyle w:val="null3"/>
            </w:pPr>
            <w:r>
              <w:rPr>
                <w:rFonts w:ascii="仿宋_GB2312" w:hAnsi="仿宋_GB2312" w:cs="仿宋_GB2312" w:eastAsia="仿宋_GB2312"/>
              </w:rPr>
              <w:t>GB/T24356-2009《测绘成果质量检查与验收》。</w:t>
            </w:r>
          </w:p>
          <w:p>
            <w:pPr>
              <w:pStyle w:val="null3"/>
            </w:pPr>
            <w:r>
              <w:rPr>
                <w:rFonts w:ascii="仿宋_GB2312" w:hAnsi="仿宋_GB2312" w:cs="仿宋_GB2312" w:eastAsia="仿宋_GB2312"/>
              </w:rPr>
              <w:t>CJJ/T7-2017《城市工程地球物理探测标准》。</w:t>
            </w:r>
          </w:p>
          <w:p>
            <w:pPr>
              <w:pStyle w:val="null3"/>
            </w:pPr>
            <w:r>
              <w:rPr>
                <w:rFonts w:ascii="仿宋_GB2312" w:hAnsi="仿宋_GB2312" w:cs="仿宋_GB2312" w:eastAsia="仿宋_GB2312"/>
              </w:rPr>
              <w:t>坐标系</w:t>
            </w:r>
          </w:p>
          <w:p>
            <w:pPr>
              <w:pStyle w:val="null3"/>
            </w:pPr>
            <w:r>
              <w:rPr>
                <w:rFonts w:ascii="仿宋_GB2312" w:hAnsi="仿宋_GB2312" w:cs="仿宋_GB2312" w:eastAsia="仿宋_GB2312"/>
              </w:rPr>
              <w:t>西安2000坐标系；1985国家高程基准。</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1.乙方应当根据合同要求按工期完成测量工作。</w:t>
            </w:r>
          </w:p>
          <w:p>
            <w:pPr>
              <w:pStyle w:val="null3"/>
            </w:pPr>
            <w:r>
              <w:rPr>
                <w:rFonts w:ascii="仿宋_GB2312" w:hAnsi="仿宋_GB2312" w:cs="仿宋_GB2312" w:eastAsia="仿宋_GB2312"/>
              </w:rPr>
              <w:t>2.乙方应当严格遵守相关法律、法规，测量过程应符合规范和有关技术标准、规定，对其完成的测量成果质量负责。</w:t>
            </w:r>
          </w:p>
          <w:p>
            <w:pPr>
              <w:pStyle w:val="null3"/>
            </w:pPr>
            <w:r>
              <w:rPr>
                <w:rFonts w:ascii="仿宋_GB2312" w:hAnsi="仿宋_GB2312" w:cs="仿宋_GB2312" w:eastAsia="仿宋_GB2312"/>
              </w:rPr>
              <w:t>3.乙方应当对甲方所提供的所有资料进行复核，发现问题应及时向甲方报告，如因乙方未复核或复核未发现问题，而导致产生不利影响，乙方应承担由此产生的不利后果。</w:t>
            </w:r>
          </w:p>
          <w:p>
            <w:pPr>
              <w:pStyle w:val="null3"/>
            </w:pPr>
            <w:r>
              <w:rPr>
                <w:rFonts w:ascii="仿宋_GB2312" w:hAnsi="仿宋_GB2312" w:cs="仿宋_GB2312" w:eastAsia="仿宋_GB2312"/>
              </w:rPr>
              <w:t>4.乙方应允许甲方内部使用乙方为执行本合同向甲方提供的所有测量成果。</w:t>
            </w:r>
          </w:p>
          <w:p>
            <w:pPr>
              <w:pStyle w:val="null3"/>
            </w:pPr>
            <w:r>
              <w:rPr>
                <w:rFonts w:ascii="仿宋_GB2312" w:hAnsi="仿宋_GB2312" w:cs="仿宋_GB2312" w:eastAsia="仿宋_GB2312"/>
              </w:rPr>
              <w:t>5.乙方不得擅自更换和撤离项目负责人及其它本项目的主要管理人员，发生下列情形之一需更换或撤离的，应至少提前7天以书面形式通知甲方，并征得甲方书面同意，否则甲方有权要求乙方支付违约金，同时甲方有权选择解除或继续履行本合同。后任继续行使合同文件约定的前任项目负责人的职权，履行前任项目负责人的义务。</w:t>
            </w:r>
          </w:p>
          <w:p>
            <w:pPr>
              <w:pStyle w:val="null3"/>
            </w:pPr>
            <w:r>
              <w:rPr>
                <w:rFonts w:ascii="仿宋_GB2312" w:hAnsi="仿宋_GB2312" w:cs="仿宋_GB2312" w:eastAsia="仿宋_GB2312"/>
              </w:rPr>
              <w:t>①因患病等身体原因无法坚持工作的；</w:t>
            </w:r>
          </w:p>
          <w:p>
            <w:pPr>
              <w:pStyle w:val="null3"/>
            </w:pPr>
            <w:r>
              <w:rPr>
                <w:rFonts w:ascii="仿宋_GB2312" w:hAnsi="仿宋_GB2312" w:cs="仿宋_GB2312" w:eastAsia="仿宋_GB2312"/>
              </w:rPr>
              <w:t>②退休或离开本单位的；</w:t>
            </w:r>
          </w:p>
          <w:p>
            <w:pPr>
              <w:pStyle w:val="null3"/>
            </w:pPr>
            <w:r>
              <w:rPr>
                <w:rFonts w:ascii="仿宋_GB2312" w:hAnsi="仿宋_GB2312" w:cs="仿宋_GB2312" w:eastAsia="仿宋_GB2312"/>
              </w:rPr>
              <w:t>③被建设主管部门责令停止(暂停)上岗资格、撤销或吊销相关证书，或被有关部门依法追究刑事责任的。</w:t>
            </w:r>
          </w:p>
          <w:p>
            <w:pPr>
              <w:pStyle w:val="null3"/>
            </w:pPr>
            <w:r>
              <w:rPr>
                <w:rFonts w:ascii="仿宋_GB2312" w:hAnsi="仿宋_GB2312" w:cs="仿宋_GB2312" w:eastAsia="仿宋_GB2312"/>
              </w:rPr>
              <w:t>6.建立、完善测量作业安全组织机构，明确岗位、职责，在测量作业中出现的一切安全事故,均由乙方自行解决,并承担由此产生的全部经济和法律责任，造成甲方损失的，乙方应当承担全部赔偿责任。</w:t>
            </w:r>
          </w:p>
          <w:p>
            <w:pPr>
              <w:pStyle w:val="null3"/>
            </w:pPr>
            <w:r>
              <w:rPr>
                <w:rFonts w:ascii="仿宋_GB2312" w:hAnsi="仿宋_GB2312" w:cs="仿宋_GB2312" w:eastAsia="仿宋_GB2312"/>
              </w:rPr>
              <w:t>7.接受甲方提出的安全处理意见，并及时改正。</w:t>
            </w:r>
          </w:p>
          <w:p>
            <w:pPr>
              <w:pStyle w:val="null3"/>
            </w:pPr>
            <w:r>
              <w:rPr>
                <w:rFonts w:ascii="仿宋_GB2312" w:hAnsi="仿宋_GB2312" w:cs="仿宋_GB2312" w:eastAsia="仿宋_GB2312"/>
              </w:rPr>
              <w:t>8.在项目后续实施过程中如需乙方配合，乙方应积极提供各项配合。</w:t>
            </w:r>
          </w:p>
          <w:p>
            <w:pPr>
              <w:pStyle w:val="null3"/>
            </w:pPr>
            <w:r>
              <w:rPr>
                <w:rFonts w:ascii="仿宋_GB2312" w:hAnsi="仿宋_GB2312" w:cs="仿宋_GB2312" w:eastAsia="仿宋_GB2312"/>
              </w:rPr>
              <w:t>五、款项结算</w:t>
            </w:r>
          </w:p>
          <w:p>
            <w:pPr>
              <w:pStyle w:val="null3"/>
            </w:pPr>
            <w:r>
              <w:rPr>
                <w:rFonts w:ascii="仿宋_GB2312" w:hAnsi="仿宋_GB2312" w:cs="仿宋_GB2312" w:eastAsia="仿宋_GB2312"/>
              </w:rPr>
              <w:t>项目成果提交至西安市自然资源和规划局阎良分局并通过审核后，甲方向乙方支付项目经费，具体金额按照实际完成工作项测算。乙方向甲方移交成果。</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具有类似地理信息测绘项目业绩及相关工作经验。</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按照西安市自然资源和规划局阎良分局要求的时间节点提交成果。</w:t>
            </w:r>
          </w:p>
          <w:p>
            <w:pPr>
              <w:pStyle w:val="null3"/>
              <w:numPr>
                <w:ilvl w:val="0"/>
                <w:numId w:val="1"/>
              </w:numPr>
            </w:pPr>
            <w:r>
              <w:rPr>
                <w:rFonts w:ascii="仿宋_GB2312" w:hAnsi="仿宋_GB2312" w:cs="仿宋_GB2312" w:eastAsia="仿宋_GB2312"/>
              </w:rPr>
              <w:t>成果交付要求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成 果 名 称</w:t>
                  </w:r>
                </w:p>
              </w:tc>
              <w:tc>
                <w:tcPr>
                  <w:tcW w:type="dxa" w:w="638"/>
                </w:tcPr>
                <w:p>
                  <w:pPr>
                    <w:pStyle w:val="null3"/>
                  </w:pPr>
                  <w:r>
                    <w:rPr>
                      <w:rFonts w:ascii="仿宋_GB2312" w:hAnsi="仿宋_GB2312" w:cs="仿宋_GB2312" w:eastAsia="仿宋_GB2312"/>
                    </w:rPr>
                    <w:t>规 格</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1:1000（1:500）地形图</w:t>
                  </w:r>
                </w:p>
              </w:tc>
              <w:tc>
                <w:tcPr>
                  <w:tcW w:type="dxa" w:w="638"/>
                </w:tcPr>
                <w:p>
                  <w:pPr>
                    <w:pStyle w:val="null3"/>
                  </w:pPr>
                  <w:r>
                    <w:rPr>
                      <w:rFonts w:ascii="仿宋_GB2312" w:hAnsi="仿宋_GB2312" w:cs="仿宋_GB2312" w:eastAsia="仿宋_GB2312"/>
                    </w:rPr>
                    <w:t>纸质</w:t>
                  </w:r>
                </w:p>
              </w:tc>
              <w:tc>
                <w:tcPr>
                  <w:tcW w:type="dxa" w:w="638"/>
                </w:tcPr>
                <w:p>
                  <w:pPr>
                    <w:pStyle w:val="null3"/>
                  </w:pPr>
                  <w:r>
                    <w:rPr>
                      <w:rFonts w:ascii="仿宋_GB2312" w:hAnsi="仿宋_GB2312" w:cs="仿宋_GB2312" w:eastAsia="仿宋_GB2312"/>
                    </w:rPr>
                    <w:t>3套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1:1000（1:500）地形图</w:t>
                  </w:r>
                </w:p>
              </w:tc>
              <w:tc>
                <w:tcPr>
                  <w:tcW w:type="dxa" w:w="638"/>
                </w:tcPr>
                <w:p>
                  <w:pPr>
                    <w:pStyle w:val="null3"/>
                  </w:pPr>
                  <w:r>
                    <w:rPr>
                      <w:rFonts w:ascii="仿宋_GB2312" w:hAnsi="仿宋_GB2312" w:cs="仿宋_GB2312" w:eastAsia="仿宋_GB2312"/>
                    </w:rPr>
                    <w:t>光盘（电子文件格式为DWG）</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宗地道路红线图</w:t>
                  </w:r>
                </w:p>
              </w:tc>
              <w:tc>
                <w:tcPr>
                  <w:tcW w:type="dxa" w:w="638"/>
                </w:tcPr>
                <w:p>
                  <w:pPr>
                    <w:pStyle w:val="null3"/>
                  </w:pPr>
                  <w:r>
                    <w:rPr>
                      <w:rFonts w:ascii="仿宋_GB2312" w:hAnsi="仿宋_GB2312" w:cs="仿宋_GB2312" w:eastAsia="仿宋_GB2312"/>
                    </w:rPr>
                    <w:t>纸质</w:t>
                  </w:r>
                </w:p>
              </w:tc>
              <w:tc>
                <w:tcPr>
                  <w:tcW w:type="dxa" w:w="638"/>
                </w:tcPr>
                <w:p>
                  <w:pPr>
                    <w:pStyle w:val="null3"/>
                  </w:pPr>
                  <w:r>
                    <w:rPr>
                      <w:rFonts w:ascii="仿宋_GB2312" w:hAnsi="仿宋_GB2312" w:cs="仿宋_GB2312" w:eastAsia="仿宋_GB2312"/>
                    </w:rPr>
                    <w:t>3套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规划用地测绘成果</w:t>
                  </w:r>
                </w:p>
              </w:tc>
              <w:tc>
                <w:tcPr>
                  <w:tcW w:type="dxa" w:w="638"/>
                </w:tcPr>
                <w:p>
                  <w:pPr>
                    <w:pStyle w:val="null3"/>
                  </w:pPr>
                  <w:r>
                    <w:rPr>
                      <w:rFonts w:ascii="仿宋_GB2312" w:hAnsi="仿宋_GB2312" w:cs="仿宋_GB2312" w:eastAsia="仿宋_GB2312"/>
                    </w:rPr>
                    <w:t>纸质</w:t>
                  </w:r>
                </w:p>
              </w:tc>
              <w:tc>
                <w:tcPr>
                  <w:tcW w:type="dxa" w:w="638"/>
                </w:tcPr>
                <w:p>
                  <w:pPr>
                    <w:pStyle w:val="null3"/>
                  </w:pPr>
                  <w:r>
                    <w:rPr>
                      <w:rFonts w:ascii="仿宋_GB2312" w:hAnsi="仿宋_GB2312" w:cs="仿宋_GB2312" w:eastAsia="仿宋_GB2312"/>
                    </w:rPr>
                    <w:t>3套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违法建筑测绘成果</w:t>
                  </w:r>
                </w:p>
              </w:tc>
              <w:tc>
                <w:tcPr>
                  <w:tcW w:type="dxa" w:w="638"/>
                </w:tcPr>
                <w:p>
                  <w:pPr>
                    <w:pStyle w:val="null3"/>
                  </w:pPr>
                  <w:r>
                    <w:rPr>
                      <w:rFonts w:ascii="仿宋_GB2312" w:hAnsi="仿宋_GB2312" w:cs="仿宋_GB2312" w:eastAsia="仿宋_GB2312"/>
                    </w:rPr>
                    <w:t>纸质</w:t>
                  </w:r>
                </w:p>
              </w:tc>
              <w:tc>
                <w:tcPr>
                  <w:tcW w:type="dxa" w:w="638"/>
                </w:tcPr>
                <w:p>
                  <w:pPr>
                    <w:pStyle w:val="null3"/>
                  </w:pPr>
                  <w:r>
                    <w:rPr>
                      <w:rFonts w:ascii="仿宋_GB2312" w:hAnsi="仿宋_GB2312" w:cs="仿宋_GB2312" w:eastAsia="仿宋_GB2312"/>
                    </w:rPr>
                    <w:t>3套</w:t>
                  </w:r>
                </w:p>
              </w:tc>
            </w:tr>
          </w:tbl>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GB/T18314—2024 全球导航卫星系统（GNSS）测量规范</w:t>
            </w:r>
          </w:p>
          <w:p>
            <w:pPr>
              <w:pStyle w:val="null3"/>
            </w:pPr>
            <w:r>
              <w:rPr>
                <w:rFonts w:ascii="仿宋_GB2312" w:hAnsi="仿宋_GB2312" w:cs="仿宋_GB2312" w:eastAsia="仿宋_GB2312"/>
              </w:rPr>
              <w:t>CJJ/T8-2011《城市测量规范》。</w:t>
            </w:r>
          </w:p>
          <w:p>
            <w:pPr>
              <w:pStyle w:val="null3"/>
            </w:pPr>
            <w:r>
              <w:rPr>
                <w:rFonts w:ascii="仿宋_GB2312" w:hAnsi="仿宋_GB2312" w:cs="仿宋_GB2312" w:eastAsia="仿宋_GB2312"/>
              </w:rPr>
              <w:t>GBT20257.1-2017《国家基本比例尺地图图式第1部分:1︰500 、1︰1000 、1︰2000地形图图式》。</w:t>
            </w:r>
          </w:p>
          <w:p>
            <w:pPr>
              <w:pStyle w:val="null3"/>
            </w:pPr>
            <w:r>
              <w:rPr>
                <w:rFonts w:ascii="仿宋_GB2312" w:hAnsi="仿宋_GB2312" w:cs="仿宋_GB2312" w:eastAsia="仿宋_GB2312"/>
              </w:rPr>
              <w:t>GB/T18316-2008《数字测绘成果质量检查与验收》。</w:t>
            </w:r>
          </w:p>
          <w:p>
            <w:pPr>
              <w:pStyle w:val="null3"/>
            </w:pPr>
            <w:r>
              <w:rPr>
                <w:rFonts w:ascii="仿宋_GB2312" w:hAnsi="仿宋_GB2312" w:cs="仿宋_GB2312" w:eastAsia="仿宋_GB2312"/>
              </w:rPr>
              <w:t>GB/T24356-2009《测绘成果质量检查与验收》。</w:t>
            </w:r>
          </w:p>
          <w:p>
            <w:pPr>
              <w:pStyle w:val="null3"/>
            </w:pPr>
            <w:r>
              <w:rPr>
                <w:rFonts w:ascii="仿宋_GB2312" w:hAnsi="仿宋_GB2312" w:cs="仿宋_GB2312" w:eastAsia="仿宋_GB2312"/>
              </w:rPr>
              <w:t>CJJ/T7-2017《城市工程地球物理探测标准》。</w:t>
            </w:r>
          </w:p>
          <w:p>
            <w:pPr>
              <w:pStyle w:val="null3"/>
            </w:pPr>
            <w:r>
              <w:rPr>
                <w:rFonts w:ascii="仿宋_GB2312" w:hAnsi="仿宋_GB2312" w:cs="仿宋_GB2312" w:eastAsia="仿宋_GB2312"/>
              </w:rPr>
              <w:t>注：服务内容及要求不得负偏离。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总服务期限自合同签订之日起一年内，单项任务委托之日起不超过10个工作日提交成果，具体按照西安市自然资源和规划局阎良分局要求的时间节点提交成果。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GB/T18314—2024 全球导航卫星系统（GNSS）测量规范 CJJ/T8-2011《城市测量规范》。 GBT20257.1-2017《国家基本比例尺地图图式第1部分:1︰500 、1︰1000 、1︰2000地形图图式》。 GB/T18316-2008《数字测绘成果质量检查与验收》。 GB/T24356-2009《测绘成果质量检查与验收》。 CJJ/T7-2017《城市工程地球物理探测标准》。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项目成果提交至西安市自然资源和规划局阎良分局并通过审核后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1.由于非乙方原因（包括但不限于甲方工程项目停止）使得本合同无法继续履行的，若乙方已经进入现场工作的，甲方应按照乙方已完成实际工作量支付测量费用。 2.由于甲方未向乙方提供必要的测量资料、进场条件及工作条件等，致使乙方未能如期开工或如期完工或提交测量成果的，则工期及乙方提交测量成果的期限相应顺延。 3.甲方未按本合同约定期限支付乙方合同款的，乙方可延期交付测量成果。 4.对于乙方提供的图纸资料以及测量成果等，甲方有义务保密，不得用于本合同项下测量工程以外的项目和目的，否则由此导致乙方遭受损失的，甲方应在承担赔偿责任。 乙方违约责任 1.乙方未能按合同规定日期或甲方要求日期提交测量成果的，每天应按照本合同约定的暂定总价款的万分之五向甲方承担违约责任。 2.因乙方提供的测量成果质量不合格，乙方应负责无偿给予重测或采取补救措施，以达到甲方要求，由此产生的一切不利后果由乙方自行承担，给甲方造成损失的，应承担全部赔偿责任。 3.乙方未经甲方书面许可将本合同转包、分包给第三方的，甲方有权要求乙方按照合同暂定总价款20%的标准支付违约金，同时有权解除本合同。 4.除上述违约责任外，合同项下如未对乙方的违约行为所应承担的违约责任比例作出明确约定的，甲方有权在合同暂定总价款1%-30%范围内要求乙方支付违约金，并且乙方应承担由此产生的全部责任及损失。 5.乙方违约行为给甲方造成损失的，应对甲方全部损失承担违约责任（包括但不限于违约金、罚金、另行委托第三方的费用、诉讼费、律师费、鉴定费、检验费、保全费、保函费、公告费和差旅费等为主张权利所支出的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供应商须具有乙级（含）以上测绘资质证书；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拟派项目负责人须具备注册测绘师执业资格或具有测绘及相关专业高级工程师职称；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及被授权人近三个月（2025年6月-8月）在投标单位缴纳社保的证明））；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现状地形图、宗地图测绘承诺.docx 业绩.docx 投入人员配备.docx 中小企业声明函 服务承诺.docx 进度控制的方法和措施.docx 商务条款响应偏离表.docx 地形图、宗地图测绘思路和理念.docx 服务内容及服务要求响应偏离表.docx 资格证明文件.docx 重点、难点分析及解决方案.docx 响应文件封面 《拒绝政府采购领域商业贿赂承诺书》.docx 服务质量保障措施.docx 应急处理预案.docx 残疾人福利性单位声明函 设备设施及辅助器材.docx 安全保障措施.docx 标的清单 实施方案.docx 响应函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现状地形图、宗地图测绘承诺.docx 业绩.docx 投入人员配备.docx 中小企业声明函 服务承诺.docx 进度控制的方法和措施.docx 商务条款响应偏离表.docx 地形图、宗地图测绘思路和理念.docx 服务内容及服务要求响应偏离表.docx 资格证明文件.docx 重点、难点分析及解决方案.docx 响应文件封面 《拒绝政府采购领域商业贿赂承诺书》.docx 服务质量保障措施.docx 应急处理预案.docx 残疾人福利性单位声明函 设备设施及辅助器材.docx 安全保障措施.docx 标的清单 实施方案.docx 响应函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现状地形图、宗地图测绘承诺.docx 业绩.docx 投入人员配备.docx 中小企业声明函 服务承诺.docx 进度控制的方法和措施.docx 商务条款响应偏离表.docx 地形图、宗地图测绘思路和理念.docx 服务内容及服务要求响应偏离表.docx 资格证明文件.docx 重点、难点分析及解决方案.docx 响应文件封面 《拒绝政府采购领域商业贿赂承诺书》.docx 服务质量保障措施.docx 应急处理预案.docx 残疾人福利性单位声明函 设备设施及辅助器材.docx 安全保障措施.docx 标的清单 实施方案.docx 响应函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商务实质性响应</w:t>
            </w:r>
          </w:p>
        </w:tc>
        <w:tc>
          <w:tcPr>
            <w:tcW w:type="dxa" w:w="3322"/>
          </w:tcPr>
          <w:p>
            <w:pPr>
              <w:pStyle w:val="null3"/>
            </w:pPr>
            <w:r>
              <w:rPr>
                <w:rFonts w:ascii="仿宋_GB2312" w:hAnsi="仿宋_GB2312" w:cs="仿宋_GB2312" w:eastAsia="仿宋_GB2312"/>
              </w:rPr>
              <w:t>是否对磋商文件商务要求作出明确且实质性响应。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服务实质性响应</w:t>
            </w:r>
          </w:p>
        </w:tc>
        <w:tc>
          <w:tcPr>
            <w:tcW w:type="dxa" w:w="3322"/>
          </w:tcPr>
          <w:p>
            <w:pPr>
              <w:pStyle w:val="null3"/>
            </w:pPr>
            <w:r>
              <w:rPr>
                <w:rFonts w:ascii="仿宋_GB2312" w:hAnsi="仿宋_GB2312" w:cs="仿宋_GB2312" w:eastAsia="仿宋_GB2312"/>
              </w:rPr>
              <w:t>是否对磋商文件服务内容及要求作出明确响应，对不得偏离的要求未作出实质性响应。</w:t>
            </w:r>
          </w:p>
        </w:tc>
        <w:tc>
          <w:tcPr>
            <w:tcW w:type="dxa" w:w="1661"/>
          </w:tcPr>
          <w:p>
            <w:pPr>
              <w:pStyle w:val="null3"/>
            </w:pPr>
            <w:r>
              <w:rPr>
                <w:rFonts w:ascii="仿宋_GB2312" w:hAnsi="仿宋_GB2312" w:cs="仿宋_GB2312" w:eastAsia="仿宋_GB2312"/>
              </w:rPr>
              <w:t>服务内容及服务要求响应偏离表.docx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响应文件无采购人不能接受的附加条件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现状地形图、宗地图测绘承诺.docx 业绩.docx 投入人员配备.docx 中小企业声明函 服务承诺.docx 进度控制的方法和措施.docx 商务条款响应偏离表.docx 地形图、宗地图测绘思路和理念.docx 服务内容及服务要求响应偏离表.docx 资格证明文件.docx 重点、难点分析及解决方案.docx 响应文件封面 《拒绝政府采购领域商业贿赂承诺书》.docx 服务质量保障措施.docx 应急处理预案.docx 残疾人福利性单位声明函 设备设施及辅助器材.docx 安全保障措施.docx 标的清单 实施方案.docx 响应函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现状地形图、宗地图测绘承诺.docx 业绩.docx 投入人员配备.docx 中小企业声明函 服务承诺.docx 进度控制的方法和措施.docx 商务条款响应偏离表.docx 地形图、宗地图测绘思路和理念.docx 服务内容及服务要求响应偏离表.docx 资格证明文件.docx 重点、难点分析及解决方案.docx 响应文件封面 《拒绝政府采购领域商业贿赂承诺书》.docx 服务质量保障措施.docx 应急处理预案.docx 残疾人福利性单位声明函 设备设施及辅助器材.docx 安全保障措施.docx 标的清单 实施方案.docx 响应函 供应商认为有必要补充说明的事宜.docx 监狱企业的证明文件 《供应商参与政府采购活动的承诺函》.docx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项目实施方案，方案内容符合本项目要求，详细具体，内容深入全面，专业性强；方案有关论述条理清晰。包括但不限于对项目的理解，工作目标与服务标准，质量保证，风险规避措施，工作部署的合理保证措施，专业能力保障措施，保证工作的规范性措施等。 ①方案流程清晰、详细具体、全面合理，架构完整、层次清楚、完善可行，充分考虑用户实际需求，的计10分； ②方案内容完整，流程规范，但内容体系条理不清晰，计8分； ③方案内容有1项缺项或方案内容总体简单，计6分； ④方案内容有2项缺项或服务方案及流程无重点，计4分； ⑤方案内容有3项（含）以上缺项或服务方案混乱，计2分； ⑥方案整体只有粗略描述、无实质性内容，计1分；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①方案对项目重点、难点的关键点分析准确，解决方案得当的计5分； ②方案只有框架，内容粗略的计3分； ③方案存在重大缺陷的计1分；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地形图、宗地图测绘思路和理念</w:t>
            </w:r>
          </w:p>
        </w:tc>
        <w:tc>
          <w:tcPr>
            <w:tcW w:type="dxa" w:w="2492"/>
          </w:tcPr>
          <w:p>
            <w:pPr>
              <w:pStyle w:val="null3"/>
            </w:pPr>
            <w:r>
              <w:rPr>
                <w:rFonts w:ascii="仿宋_GB2312" w:hAnsi="仿宋_GB2312" w:cs="仿宋_GB2312" w:eastAsia="仿宋_GB2312"/>
              </w:rPr>
              <w:t>现状地形图、宗地图测绘的思路和理念实用、合理，根据设计文件的合理性，方案的实用性进行赋分。 ①内容全面且各项内容有具体说明(包括详细的内容描述）的计5分； ②评审内容有任意一类缺陷扣1分，5分扣完为止。 备注：缺陷是指：内容粗略、逻辑混乱、描述过于简单、与项目特点不匹配、凭空编造、逻辑漏洞、出现常识性错误、套用其他项目方案、存在不可能实现的夸大情形或存在不适用项目实际情况的情形。 ③未提供相关内容的不计分。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地形图、宗地图测绘思路和理念.docx</w:t>
            </w:r>
          </w:p>
        </w:tc>
      </w:tr>
      <w:tr>
        <w:tc>
          <w:tcPr>
            <w:tcW w:type="dxa" w:w="831"/>
            <w:vMerge/>
          </w:tcPr>
          <w:p/>
        </w:tc>
        <w:tc>
          <w:tcPr>
            <w:tcW w:type="dxa" w:w="1661"/>
          </w:tcPr>
          <w:p>
            <w:pPr>
              <w:pStyle w:val="null3"/>
            </w:pPr>
            <w:r>
              <w:rPr>
                <w:rFonts w:ascii="仿宋_GB2312" w:hAnsi="仿宋_GB2312" w:cs="仿宋_GB2312" w:eastAsia="仿宋_GB2312"/>
              </w:rPr>
              <w:t>现状地形图、宗地图测绘承诺</w:t>
            </w:r>
          </w:p>
        </w:tc>
        <w:tc>
          <w:tcPr>
            <w:tcW w:type="dxa" w:w="2492"/>
          </w:tcPr>
          <w:p>
            <w:pPr>
              <w:pStyle w:val="null3"/>
            </w:pPr>
            <w:r>
              <w:rPr>
                <w:rFonts w:ascii="仿宋_GB2312" w:hAnsi="仿宋_GB2312" w:cs="仿宋_GB2312" w:eastAsia="仿宋_GB2312"/>
              </w:rPr>
              <w:t>要求所提供的宗地图、现状地形图有一定的参考依据，响应文件中有关于所绘制宗地图、现状地形图出现误差的整改承诺及处理措施，根据响应文件中承诺时间、整改时间及其他问题的响应程度进行赋分。 ①内容全面且各项内容有具体说明(包括详细的内容描述）的计5分； ②评审内容有任意一类缺陷扣1分，5分扣完为止。 备注：缺陷是指：内容粗略、逻辑混乱、描述过于简单、与项目特点不匹配、凭空编造、逻辑漏洞、出现常识性错误、套用其他项目方案、存在不可能实现的夸大情形或存在不适用项目实际情况的情形。 ③未提供相关内容的不计分。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现状地形图、宗地图测绘承诺.docx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针对本项目实际需求编制服务质量保证措施，有详细全面的服务质量标准、服务质量管理制度、质量保证承诺及措施、考核制度等。 ①内容详细具体，思路明晰合理、措施完整、实用计10分； ②内容完整，但内容体系条理不清晰，计8分； ③内容有1项缺项或措施内容总体简单，计6分； ④内容有2项缺项或措施内容无重点，计4分； ⑤整体只有粗略描述、无实质性内容，计2分；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针对本项目提供明确的工作计划目标，科学合理的进度安排方案，项目各阶段进度的控制方法和措施、工作流程描述完整、科学、可行进行赋分。 ①内容详细具体，思路明晰合理、措施完整、实用计10分； ②内容完整，但内容体系条理不清晰，计8分； ③内容有1项缺项或措施内容总体简单，计6分； ④内容有2项缺项或措施内容无重点，计4分； ⑤整体只有粗略描述、无实质性内容，计2分；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进度控制的方法和措施.docx</w:t>
            </w:r>
          </w:p>
        </w:tc>
      </w:tr>
      <w:tr>
        <w:tc>
          <w:tcPr>
            <w:tcW w:type="dxa" w:w="831"/>
            <w:vMerge/>
          </w:tcPr>
          <w:p/>
        </w:tc>
        <w:tc>
          <w:tcPr>
            <w:tcW w:type="dxa" w:w="1661"/>
          </w:tcPr>
          <w:p>
            <w:pPr>
              <w:pStyle w:val="null3"/>
            </w:pPr>
            <w:r>
              <w:rPr>
                <w:rFonts w:ascii="仿宋_GB2312" w:hAnsi="仿宋_GB2312" w:cs="仿宋_GB2312" w:eastAsia="仿宋_GB2312"/>
              </w:rPr>
              <w:t>投入人员配备1</w:t>
            </w:r>
          </w:p>
        </w:tc>
        <w:tc>
          <w:tcPr>
            <w:tcW w:type="dxa" w:w="2492"/>
          </w:tcPr>
          <w:p>
            <w:pPr>
              <w:pStyle w:val="null3"/>
            </w:pPr>
            <w:r>
              <w:rPr>
                <w:rFonts w:ascii="仿宋_GB2312" w:hAnsi="仿宋_GB2312" w:cs="仿宋_GB2312" w:eastAsia="仿宋_GB2312"/>
              </w:rPr>
              <w:t>根据针对本项目要求，有详细的人员配置方案，包括但不限于人员数量齐全、配置结构完整、专业技术能力、从业工作年限、人员素质（包括但不限于专业、学历、证书、服务履历等），提供相关证明材料。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①内容详细具体，服务人员数量充足，满足本项目需求，人员经验丰富，岗位职责明确清晰，证明材料齐全计8分； ②内容有欠缺，能力及分工能满足项目需求，但描述不够详细，且证明材料有缺失的计5分； ③方案内容欠缺，无证明材料的计2分；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投入人员配备.docx</w:t>
            </w:r>
          </w:p>
        </w:tc>
      </w:tr>
      <w:tr>
        <w:tc>
          <w:tcPr>
            <w:tcW w:type="dxa" w:w="831"/>
            <w:vMerge/>
          </w:tcPr>
          <w:p/>
        </w:tc>
        <w:tc>
          <w:tcPr>
            <w:tcW w:type="dxa" w:w="1661"/>
          </w:tcPr>
          <w:p>
            <w:pPr>
              <w:pStyle w:val="null3"/>
            </w:pPr>
            <w:r>
              <w:rPr>
                <w:rFonts w:ascii="仿宋_GB2312" w:hAnsi="仿宋_GB2312" w:cs="仿宋_GB2312" w:eastAsia="仿宋_GB2312"/>
              </w:rPr>
              <w:t>投入人员配备2</w:t>
            </w:r>
          </w:p>
        </w:tc>
        <w:tc>
          <w:tcPr>
            <w:tcW w:type="dxa" w:w="2492"/>
          </w:tcPr>
          <w:p>
            <w:pPr>
              <w:pStyle w:val="null3"/>
            </w:pPr>
            <w:r>
              <w:rPr>
                <w:rFonts w:ascii="仿宋_GB2312" w:hAnsi="仿宋_GB2312" w:cs="仿宋_GB2312" w:eastAsia="仿宋_GB2312"/>
              </w:rPr>
              <w:t>拟投入中级及以上职称10人（含）以上计5分;每少配置1人,扣1分。人员配置少于或等于5名的，不计分。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投入人员配备.docx</w:t>
            </w:r>
          </w:p>
        </w:tc>
      </w:tr>
      <w:tr>
        <w:tc>
          <w:tcPr>
            <w:tcW w:type="dxa" w:w="831"/>
            <w:vMerge/>
          </w:tcPr>
          <w:p/>
        </w:tc>
        <w:tc>
          <w:tcPr>
            <w:tcW w:type="dxa" w:w="1661"/>
          </w:tcPr>
          <w:p>
            <w:pPr>
              <w:pStyle w:val="null3"/>
            </w:pPr>
            <w:r>
              <w:rPr>
                <w:rFonts w:ascii="仿宋_GB2312" w:hAnsi="仿宋_GB2312" w:cs="仿宋_GB2312" w:eastAsia="仿宋_GB2312"/>
              </w:rPr>
              <w:t>设备设施及辅助器材</w:t>
            </w:r>
          </w:p>
        </w:tc>
        <w:tc>
          <w:tcPr>
            <w:tcW w:type="dxa" w:w="2492"/>
          </w:tcPr>
          <w:p>
            <w:pPr>
              <w:pStyle w:val="null3"/>
            </w:pPr>
            <w:r>
              <w:rPr>
                <w:rFonts w:ascii="仿宋_GB2312" w:hAnsi="仿宋_GB2312" w:cs="仿宋_GB2312" w:eastAsia="仿宋_GB2312"/>
              </w:rPr>
              <w:t>针对项目需求配置完善的设备设施及辅助器材，根据提供设备的种类、数量等赋分。 ①投标人提供的设备设施及辅助器材的种类、数量等满足项目需求的计5分； ②所提供的设备品种不足或数量不足的计3分； ③所提供的设备与项目实际使用需求不匹配，不能满足项目实施的1分；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设备设施及辅助器材.docx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 ①应急响应方案全面、合理，供应商所预估的紧急情况贴合本项目服务内容，计5分； ②应急响应方案只有书面承诺，缺少具体方式方法，计3分； ③应急响应方案描述粗略，只有简短说明的，计1分。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 ①服务承诺全面具体、可操作性强、细节描述详细的，计6分； ②内容有1项缺项或内容总体简单，计4分； ③有内容但无重点、只有粗略描述、无实质性内容，计2分。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针对本项目提供服务期间的安全保障措施方案，包括但不限于：安全责任划分标准；安全事故的应对措施；承诺人员事故情况由供应商承担等内容。 ①内容全面完整，安全责任划分明确，应对措施可行性强的计6分； ②内容有缺项，描述不详细，安全责任划分模糊的计4分； ③内容空泛，不利于本次项目实施的计2分；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提供2021年1月1日（以签订时间为准）至今的类似项目业绩，提供中标（成交）通知书或合同复印件，加盖公章）每提供 1 份计2分，本项最高计10分。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满足磋商文件要求且磋商价格最低的磋商报价为评标基准价，其价格分为满分。高于评标基准价的磋商供应商的价格分按照下列公式计算：磋商报价得分=（评标基准价/磋商报价）×价格权值×100。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详见附件：重点、难点分析及解决方案.docx</w:t>
      </w:r>
    </w:p>
    <w:p>
      <w:pPr>
        <w:pStyle w:val="null3"/>
        <w:ind w:firstLine="960"/>
      </w:pPr>
      <w:r>
        <w:rPr>
          <w:rFonts w:ascii="仿宋_GB2312" w:hAnsi="仿宋_GB2312" w:cs="仿宋_GB2312" w:eastAsia="仿宋_GB2312"/>
        </w:rPr>
        <w:t>详见附件：地形图、宗地图测绘思路和理念.docx</w:t>
      </w:r>
    </w:p>
    <w:p>
      <w:pPr>
        <w:pStyle w:val="null3"/>
        <w:ind w:firstLine="960"/>
      </w:pPr>
      <w:r>
        <w:rPr>
          <w:rFonts w:ascii="仿宋_GB2312" w:hAnsi="仿宋_GB2312" w:cs="仿宋_GB2312" w:eastAsia="仿宋_GB2312"/>
        </w:rPr>
        <w:t>详见附件：现状地形图、宗地图测绘承诺.docx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详见附件：进度控制的方法和措施.docx</w:t>
      </w:r>
    </w:p>
    <w:p>
      <w:pPr>
        <w:pStyle w:val="null3"/>
        <w:ind w:firstLine="960"/>
      </w:pPr>
      <w:r>
        <w:rPr>
          <w:rFonts w:ascii="仿宋_GB2312" w:hAnsi="仿宋_GB2312" w:cs="仿宋_GB2312" w:eastAsia="仿宋_GB2312"/>
        </w:rPr>
        <w:t>详见附件：投入人员配备.docx</w:t>
      </w:r>
    </w:p>
    <w:p>
      <w:pPr>
        <w:pStyle w:val="null3"/>
        <w:ind w:firstLine="960"/>
      </w:pPr>
      <w:r>
        <w:rPr>
          <w:rFonts w:ascii="仿宋_GB2312" w:hAnsi="仿宋_GB2312" w:cs="仿宋_GB2312" w:eastAsia="仿宋_GB2312"/>
        </w:rPr>
        <w:t>详见附件：设备设施及辅助器材.docx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