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招标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投标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根据招标文件第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”进行响应，投标文件中服务响应与招标文件要求完全一致的，不用在此表中列出，但须提供空白表。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若投标文件中服务响应优于招标文件第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3B5AEC5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应对故意隐瞒服务偏差的行为承担责任。</w:t>
      </w:r>
    </w:p>
    <w:p w14:paraId="586876CC">
      <w:pPr>
        <w:spacing w:line="480" w:lineRule="auto"/>
        <w:ind w:right="-161" w:firstLine="1680" w:firstLineChars="700"/>
        <w:outlineLvl w:val="9"/>
        <w:rPr>
          <w:rFonts w:hint="eastAsia" w:ascii="宋体" w:hAnsi="宋体" w:cs="仿宋"/>
          <w:sz w:val="24"/>
          <w:highlight w:val="none"/>
        </w:rPr>
      </w:pPr>
      <w:bookmarkStart w:id="0" w:name="_GoBack"/>
      <w:bookmarkEnd w:id="0"/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付款方式、投标有效期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91266"/>
    <w:rsid w:val="0C1E558E"/>
    <w:rsid w:val="15A1342E"/>
    <w:rsid w:val="1FB56163"/>
    <w:rsid w:val="262D4E8E"/>
    <w:rsid w:val="302100FF"/>
    <w:rsid w:val="595A11C3"/>
    <w:rsid w:val="5A2275C4"/>
    <w:rsid w:val="5C2C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418</Characters>
  <Lines>0</Lines>
  <Paragraphs>0</Paragraphs>
  <TotalTime>1</TotalTime>
  <ScaleCrop>false</ScaleCrop>
  <LinksUpToDate>false</LinksUpToDate>
  <CharactersWithSpaces>710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Deprecating。</cp:lastModifiedBy>
  <dcterms:modified xsi:type="dcterms:W3CDTF">2025-09-11T09:36:30Z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eyJoZGlkIjoiN2U5ZmNkOWIwNTVkODE1NTg1Y2I3MTEzMmUwNGZlNWEiLCJ1c2VySWQiOiI0NDQ4Nzk5NjcifQ==</vt:lpwstr>
  </property>
  <property fmtid="{D5CDD505-2E9C-101B-9397-08002B2CF9AE}" pid="4" name="ICV">
    <vt:lpwstr>93D99DDF5A334C8CB0184208149BC9AB_13</vt:lpwstr>
  </property>
</Properties>
</file>