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版本号：SXZSY-202503320251013002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2025年全民健身惠民工程建设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SXZSY-2025033</w:t>
      </w:r>
      <w:r>
        <w:br/>
      </w:r>
      <w:r>
        <w:br/>
      </w:r>
      <w:r>
        <w:br/>
      </w:r>
    </w:p>
    <w:p>
      <w:pPr>
        <w:pStyle w:val="null3"/>
        <w:jc w:val="center"/>
        <w:outlineLvl w:val="2"/>
      </w:pPr>
      <w:r>
        <w:rPr>
          <w:rFonts w:ascii="仿宋_GB2312" w:hAnsi="仿宋_GB2312" w:cs="仿宋_GB2312" w:eastAsia="仿宋_GB2312"/>
          <w:sz w:val="28"/>
          <w:b/>
        </w:rPr>
        <w:t>西安市阎良区文化和旅游体育局</w:t>
      </w:r>
    </w:p>
    <w:p>
      <w:pPr>
        <w:pStyle w:val="null3"/>
        <w:jc w:val="center"/>
        <w:outlineLvl w:val="2"/>
      </w:pPr>
      <w:r>
        <w:rPr>
          <w:rFonts w:ascii="仿宋_GB2312" w:hAnsi="仿宋_GB2312" w:cs="仿宋_GB2312" w:eastAsia="仿宋_GB2312"/>
          <w:sz w:val="28"/>
          <w:b/>
        </w:rPr>
        <w:t>陕西正顺意工程管理有限公司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陕西正顺意工程管理有限公司</w:t>
      </w:r>
      <w:r>
        <w:rPr>
          <w:rFonts w:ascii="仿宋_GB2312" w:hAnsi="仿宋_GB2312" w:cs="仿宋_GB2312" w:eastAsia="仿宋_GB2312"/>
        </w:rPr>
        <w:t>（以下简称“代理机构”）受</w:t>
      </w:r>
      <w:r>
        <w:rPr>
          <w:rFonts w:ascii="仿宋_GB2312" w:hAnsi="仿宋_GB2312" w:cs="仿宋_GB2312" w:eastAsia="仿宋_GB2312"/>
        </w:rPr>
        <w:t>西安市阎良区文化和旅游体育局</w:t>
      </w:r>
      <w:r>
        <w:rPr>
          <w:rFonts w:ascii="仿宋_GB2312" w:hAnsi="仿宋_GB2312" w:cs="仿宋_GB2312" w:eastAsia="仿宋_GB2312"/>
        </w:rPr>
        <w:t>委托，拟对</w:t>
      </w:r>
      <w:r>
        <w:rPr>
          <w:rFonts w:ascii="仿宋_GB2312" w:hAnsi="仿宋_GB2312" w:cs="仿宋_GB2312" w:eastAsia="仿宋_GB2312"/>
        </w:rPr>
        <w:t>2025年全民健身惠民工程建设</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SXZSY-2025033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2025年全民健身惠民工程建设</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积极推进群众身边的全民健身场地设施建设，满足群众举步可达的健身需求，推动2025年全民健身惠民工程建设项目按期进行，采购包含全民健身路径、多功能运动场、群众健身房等，详见技术参数与性能指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采购包1（全民健身路径）：属于专门面向中小企业采购。</w:t>
      </w:r>
    </w:p>
    <w:p>
      <w:pPr>
        <w:pStyle w:val="null3"/>
      </w:pPr>
      <w:r>
        <w:rPr>
          <w:rFonts w:ascii="仿宋_GB2312" w:hAnsi="仿宋_GB2312" w:cs="仿宋_GB2312" w:eastAsia="仿宋_GB2312"/>
        </w:rPr>
        <w:t>采购包2（多功能运动场）：属于专门面向中小企业采购。</w:t>
      </w:r>
    </w:p>
    <w:p>
      <w:pPr>
        <w:pStyle w:val="null3"/>
      </w:pPr>
      <w:r>
        <w:rPr>
          <w:rFonts w:ascii="仿宋_GB2312" w:hAnsi="仿宋_GB2312" w:cs="仿宋_GB2312" w:eastAsia="仿宋_GB2312"/>
        </w:rPr>
        <w:t>采购包3（群众健身房）：属于专门面向中小企业采购。</w:t>
      </w:r>
    </w:p>
    <w:p>
      <w:pPr>
        <w:pStyle w:val="null3"/>
      </w:pPr>
      <w:r>
        <w:rPr>
          <w:rFonts w:ascii="仿宋_GB2312" w:hAnsi="仿宋_GB2312" w:cs="仿宋_GB2312" w:eastAsia="仿宋_GB2312"/>
        </w:rPr>
        <w:t>采购包4（全民健身示范社区）：属于专门面向中小企业采购。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财务状况报告：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p>
      <w:pPr>
        <w:pStyle w:val="null3"/>
      </w:pPr>
      <w:r>
        <w:rPr>
          <w:rFonts w:ascii="仿宋_GB2312" w:hAnsi="仿宋_GB2312" w:cs="仿宋_GB2312" w:eastAsia="仿宋_GB2312"/>
        </w:rPr>
        <w:t>3、社保缴纳证明：提供投标截止时间前12个月内任意一个月的已缴存的社会保障资金缴存单据或社保机构开具的社会保险参保缴费情况证明，依法不需要缴纳社会保障资金的单位应提供相关证明材料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4、税收缴纳证明：税收缴纳证明：提供投标截止时间前12个月内任意一个月的纳税证明或完税证明（任意税种），依法免税的单位应提供相关证明材料</w:t>
      </w:r>
    </w:p>
    <w:p>
      <w:pPr>
        <w:pStyle w:val="null3"/>
      </w:pPr>
      <w:r>
        <w:rPr>
          <w:rFonts w:ascii="仿宋_GB2312" w:hAnsi="仿宋_GB2312" w:cs="仿宋_GB2312" w:eastAsia="仿宋_GB2312"/>
        </w:rPr>
        <w:t>5、书面声明：参加政府采购活动前3年内，在经营活动中没有重大违法记录的书面声明</w:t>
      </w:r>
    </w:p>
    <w:p>
      <w:pPr>
        <w:pStyle w:val="null3"/>
      </w:pPr>
      <w:r>
        <w:rPr>
          <w:rFonts w:ascii="仿宋_GB2312" w:hAnsi="仿宋_GB2312" w:cs="仿宋_GB2312" w:eastAsia="仿宋_GB2312"/>
        </w:rPr>
        <w:t>6、具有履行合同所必需的设备和专业技术能力：具有履行合同所必需的设备和专业技术能力的说明及承诺</w:t>
      </w:r>
    </w:p>
    <w:p>
      <w:pPr>
        <w:pStyle w:val="null3"/>
      </w:pPr>
      <w:r>
        <w:rPr>
          <w:rFonts w:ascii="仿宋_GB2312" w:hAnsi="仿宋_GB2312" w:cs="仿宋_GB2312" w:eastAsia="仿宋_GB2312"/>
        </w:rPr>
        <w:t>7、法定代表人授权书：供应商应授权合法的人员参加谈判，其中法定代表人直接参加的，须出具法定代表人证明书；被授权代表参加的，须出具法定代表人授权书</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财务状况报告：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p>
      <w:pPr>
        <w:pStyle w:val="null3"/>
      </w:pPr>
      <w:r>
        <w:rPr>
          <w:rFonts w:ascii="仿宋_GB2312" w:hAnsi="仿宋_GB2312" w:cs="仿宋_GB2312" w:eastAsia="仿宋_GB2312"/>
        </w:rPr>
        <w:t>3、社保缴纳证明：提供投标截止时间前12个月内任意一个月的已缴存的社会保障资金缴存单据或社保机构开具的社会保险参保缴费情况证明，依法不需要缴纳社会保障资金的单位应提供相关证明材料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4、税收缴纳证明：税收缴纳证明：提供投标截止时间前12个月内任意一个月的纳税证明或完税证明（任意税种），依法免税的单位应提供相关证明材料</w:t>
      </w:r>
    </w:p>
    <w:p>
      <w:pPr>
        <w:pStyle w:val="null3"/>
      </w:pPr>
      <w:r>
        <w:rPr>
          <w:rFonts w:ascii="仿宋_GB2312" w:hAnsi="仿宋_GB2312" w:cs="仿宋_GB2312" w:eastAsia="仿宋_GB2312"/>
        </w:rPr>
        <w:t>5、书面声明：参加政府采购活动前3年内，在经营活动中没有重大违法记录的书面声明</w:t>
      </w:r>
    </w:p>
    <w:p>
      <w:pPr>
        <w:pStyle w:val="null3"/>
      </w:pPr>
      <w:r>
        <w:rPr>
          <w:rFonts w:ascii="仿宋_GB2312" w:hAnsi="仿宋_GB2312" w:cs="仿宋_GB2312" w:eastAsia="仿宋_GB2312"/>
        </w:rPr>
        <w:t>6、具有履行合同所必需的设备和专业技术能力：具有履行合同所必需的设备和专业技术能力的说明及承诺</w:t>
      </w:r>
    </w:p>
    <w:p>
      <w:pPr>
        <w:pStyle w:val="null3"/>
      </w:pPr>
      <w:r>
        <w:rPr>
          <w:rFonts w:ascii="仿宋_GB2312" w:hAnsi="仿宋_GB2312" w:cs="仿宋_GB2312" w:eastAsia="仿宋_GB2312"/>
        </w:rPr>
        <w:t>7、法定代表人授权书：供应商应授权合法的人员参加谈判，其中法定代表人直接参加的，须出具法定代表人证明书；被授权代表参加的，须出具法定代表人授权书</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财务状况报告：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p>
      <w:pPr>
        <w:pStyle w:val="null3"/>
      </w:pPr>
      <w:r>
        <w:rPr>
          <w:rFonts w:ascii="仿宋_GB2312" w:hAnsi="仿宋_GB2312" w:cs="仿宋_GB2312" w:eastAsia="仿宋_GB2312"/>
        </w:rPr>
        <w:t>3、社保缴纳证明：提供投标截止时间前12个月内任意一个月的已缴存的社会保障资金缴存单据或社保机构开具的社会保险参保缴费情况证明，依法不需要缴纳社会保障资金的单位应提供相关证明材料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4、税收缴纳证明：税收缴纳证明：提供投标截止时间前12个月内任意一个月的纳税证明或完税证明（任意税种），依法免税的单位应提供相关证明材料</w:t>
      </w:r>
    </w:p>
    <w:p>
      <w:pPr>
        <w:pStyle w:val="null3"/>
      </w:pPr>
      <w:r>
        <w:rPr>
          <w:rFonts w:ascii="仿宋_GB2312" w:hAnsi="仿宋_GB2312" w:cs="仿宋_GB2312" w:eastAsia="仿宋_GB2312"/>
        </w:rPr>
        <w:t>5、书面声明：参加政府采购活动前3年内，在经营活动中没有重大违法记录的书面声明</w:t>
      </w:r>
    </w:p>
    <w:p>
      <w:pPr>
        <w:pStyle w:val="null3"/>
      </w:pPr>
      <w:r>
        <w:rPr>
          <w:rFonts w:ascii="仿宋_GB2312" w:hAnsi="仿宋_GB2312" w:cs="仿宋_GB2312" w:eastAsia="仿宋_GB2312"/>
        </w:rPr>
        <w:t>6、具有履行合同所必需的设备和专业技术能力：具有履行合同所必需的设备和专业技术能力的说明及承诺</w:t>
      </w:r>
    </w:p>
    <w:p>
      <w:pPr>
        <w:pStyle w:val="null3"/>
      </w:pPr>
      <w:r>
        <w:rPr>
          <w:rFonts w:ascii="仿宋_GB2312" w:hAnsi="仿宋_GB2312" w:cs="仿宋_GB2312" w:eastAsia="仿宋_GB2312"/>
        </w:rPr>
        <w:t>7、法定代表人授权书：供应商应授权合法的人员参加谈判，其中法定代表人直接参加的，须出具法定代表人证明书；被授权代表参加的，须出具法定代表人授权书</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财务状况报告：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p>
      <w:pPr>
        <w:pStyle w:val="null3"/>
      </w:pPr>
      <w:r>
        <w:rPr>
          <w:rFonts w:ascii="仿宋_GB2312" w:hAnsi="仿宋_GB2312" w:cs="仿宋_GB2312" w:eastAsia="仿宋_GB2312"/>
        </w:rPr>
        <w:t>3、社保缴纳证明：提供投标截止时间前12个月内任意一个月的已缴存的社会保障资金缴存单据或社保机构开具的社会保险参保缴费情况证明，依法不需要缴纳社会保障资金的单位应提供相关证明材料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4、税收缴纳证明：税收缴纳证明：提供投标截止时间前12个月内任意一个月的纳税证明或完税证明（任意税种），依法免税的单位应提供相关证明材料</w:t>
      </w:r>
    </w:p>
    <w:p>
      <w:pPr>
        <w:pStyle w:val="null3"/>
      </w:pPr>
      <w:r>
        <w:rPr>
          <w:rFonts w:ascii="仿宋_GB2312" w:hAnsi="仿宋_GB2312" w:cs="仿宋_GB2312" w:eastAsia="仿宋_GB2312"/>
        </w:rPr>
        <w:t>5、书面声明：参加政府采购活动前3年内，在经营活动中没有重大违法记录的书面声明</w:t>
      </w:r>
    </w:p>
    <w:p>
      <w:pPr>
        <w:pStyle w:val="null3"/>
      </w:pPr>
      <w:r>
        <w:rPr>
          <w:rFonts w:ascii="仿宋_GB2312" w:hAnsi="仿宋_GB2312" w:cs="仿宋_GB2312" w:eastAsia="仿宋_GB2312"/>
        </w:rPr>
        <w:t>6、具有履行合同所必需的设备和专业技术能力：具有履行合同所必需的设备和专业技术能力的说明及承诺</w:t>
      </w:r>
    </w:p>
    <w:p>
      <w:pPr>
        <w:pStyle w:val="null3"/>
      </w:pPr>
      <w:r>
        <w:rPr>
          <w:rFonts w:ascii="仿宋_GB2312" w:hAnsi="仿宋_GB2312" w:cs="仿宋_GB2312" w:eastAsia="仿宋_GB2312"/>
        </w:rPr>
        <w:t>7、法定代表人授权书：供应商应授权合法的人员参加谈判，其中法定代表人直接参加的，须出具法定代表人证明书；被授权代表参加的，须出具法定代表人授权书</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陕西省西安市阎良区蓝天路中段文体中心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029-81667498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陕西正顺意工程管理有限公司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陕西省西安市高新区高新六路21号万象汇街区T6座1501室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13299056806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采购包1：395,000.00元</w:t>
            </w:r>
          </w:p>
          <w:p>
            <w:pPr>
              <w:pStyle w:val="null3"/>
            </w:pPr>
            <w:r>
              <w:rPr>
                <w:rFonts w:ascii="仿宋_GB2312" w:hAnsi="仿宋_GB2312" w:cs="仿宋_GB2312" w:eastAsia="仿宋_GB2312"/>
              </w:rPr>
              <w:t>采购包2：500,000.00元</w:t>
            </w:r>
          </w:p>
          <w:p>
            <w:pPr>
              <w:pStyle w:val="null3"/>
            </w:pPr>
            <w:r>
              <w:rPr>
                <w:rFonts w:ascii="仿宋_GB2312" w:hAnsi="仿宋_GB2312" w:cs="仿宋_GB2312" w:eastAsia="仿宋_GB2312"/>
              </w:rPr>
              <w:t>采购包3：150,000.00元</w:t>
            </w:r>
          </w:p>
          <w:p>
            <w:pPr>
              <w:pStyle w:val="null3"/>
            </w:pPr>
            <w:r>
              <w:rPr>
                <w:rFonts w:ascii="仿宋_GB2312" w:hAnsi="仿宋_GB2312" w:cs="仿宋_GB2312" w:eastAsia="仿宋_GB2312"/>
              </w:rPr>
              <w:t>采购包4：500,000.00元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1、代理服务费收取对象：中标/成交供应商 2、代理服务费收费标准：以中标价为基数，招标代理服务费按照国家计委印发《招标代理服务收费管理暂行办法》的通知(计价格[2002]1980号)文件、发改价格[2011]534号文件及国家发展改革委员会印发的《关于进一步放开建设项目专业服务价格的通知》[2015]299号文件的收取标准计取。 3、成交单位的代理服务费交纳信息 开户名称：陕西正顺意工程管理有限公司西安阎良分公司 开户行名称：中国建设银行股份有限公司西安阎良区支行 账号：61050170510300001665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西安市阎良区文化和旅游体育局</w:t>
      </w:r>
      <w:r>
        <w:rPr>
          <w:rFonts w:ascii="仿宋_GB2312" w:hAnsi="仿宋_GB2312" w:cs="仿宋_GB2312" w:eastAsia="仿宋_GB2312"/>
        </w:rPr>
        <w:t>和</w:t>
      </w:r>
      <w:r>
        <w:rPr>
          <w:rFonts w:ascii="仿宋_GB2312" w:hAnsi="仿宋_GB2312" w:cs="仿宋_GB2312" w:eastAsia="仿宋_GB2312"/>
        </w:rPr>
        <w:t>陕西正顺意工程管理有限公司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西安市阎良区文化和旅游体育局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陕西正顺意工程管理有限公司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西安市阎良区文化和旅游体育局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陕西正顺意工程管理有限公司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详见文件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陕西正顺意工程管理有限公司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陕西正顺意工程管理有限公司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陕西正顺意工程管理有限公司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联系人：郭晨东</w:t>
      </w:r>
    </w:p>
    <w:p>
      <w:pPr>
        <w:pStyle w:val="null3"/>
      </w:pPr>
      <w:r>
        <w:rPr>
          <w:rFonts w:ascii="仿宋_GB2312" w:hAnsi="仿宋_GB2312" w:cs="仿宋_GB2312" w:eastAsia="仿宋_GB2312"/>
        </w:rPr>
        <w:t>联系电话：13299056806</w:t>
      </w:r>
    </w:p>
    <w:p>
      <w:pPr>
        <w:pStyle w:val="null3"/>
      </w:pPr>
      <w:r>
        <w:rPr>
          <w:rFonts w:ascii="仿宋_GB2312" w:hAnsi="仿宋_GB2312" w:cs="仿宋_GB2312" w:eastAsia="仿宋_GB2312"/>
        </w:rPr>
        <w:t>地址：陕西省西安市高新区高新六路21号万象汇街区T6座1501室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为积极推进群众身边的全民健身场地设施建设，满足群众举步可达的健身需求，推动2025年全民健身惠民工程建设项目按期进行，采购包含全民健身路径、多功能运动场、群众健身房等。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395,000.00</w:t>
      </w:r>
    </w:p>
    <w:p>
      <w:pPr>
        <w:pStyle w:val="null3"/>
      </w:pPr>
      <w:r>
        <w:rPr>
          <w:rFonts w:ascii="仿宋_GB2312" w:hAnsi="仿宋_GB2312" w:cs="仿宋_GB2312" w:eastAsia="仿宋_GB2312"/>
        </w:rPr>
        <w:t>采购包最高限价（元）: 395,000.00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全民健身路径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多功能运动场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群众健身房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全民健身示范社区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标的名称：全民健身路径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77"/>
              <w:gridCol w:w="247"/>
              <w:gridCol w:w="1669"/>
              <w:gridCol w:w="177"/>
              <w:gridCol w:w="177"/>
            </w:tblGrid>
            <w:tr>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序号</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器材名称</w:t>
                  </w:r>
                </w:p>
              </w:tc>
              <w:tc>
                <w:tcPr>
                  <w:tcW w:type="dxa" w:w="1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规格参数</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数量</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地埋</w:t>
                  </w:r>
                  <w:r>
                    <w:rPr>
                      <w:rFonts w:ascii="仿宋_GB2312" w:hAnsi="仿宋_GB2312" w:cs="仿宋_GB2312" w:eastAsia="仿宋_GB2312"/>
                      <w:sz w:val="15"/>
                      <w:color w:val="000000"/>
                    </w:rPr>
                    <w:t>式</w:t>
                  </w:r>
                  <w:r>
                    <w:rPr>
                      <w:rFonts w:ascii="仿宋_GB2312" w:hAnsi="仿宋_GB2312" w:cs="仿宋_GB2312" w:eastAsia="仿宋_GB2312"/>
                      <w:sz w:val="15"/>
                      <w:color w:val="000000"/>
                    </w:rPr>
                    <w:t>篮球架（含划线）</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符合GB19272-2011《室外健身器材的安全通用要求》并持有国家认证认可监督管理委员会批准具备体育用品认证资格的第三方认证机构依据GB19272-2011标准出具的认证证书；质保期8年。</w:t>
                  </w:r>
                </w:p>
                <w:p>
                  <w:pPr>
                    <w:pStyle w:val="null3"/>
                    <w:jc w:val="left"/>
                  </w:pPr>
                  <w:r>
                    <w:rPr>
                      <w:rFonts w:ascii="仿宋_GB2312" w:hAnsi="仿宋_GB2312" w:cs="仿宋_GB2312" w:eastAsia="仿宋_GB2312"/>
                      <w:sz w:val="15"/>
                      <w:color w:val="000000"/>
                    </w:rPr>
                    <w:t>主立柱尺寸及材料≥Φ165mm×4.0mm 钢管；</w:t>
                  </w:r>
                </w:p>
                <w:p>
                  <w:pPr>
                    <w:pStyle w:val="null3"/>
                    <w:jc w:val="left"/>
                  </w:pPr>
                  <w:r>
                    <w:rPr>
                      <w:rFonts w:ascii="仿宋_GB2312" w:hAnsi="仿宋_GB2312" w:cs="仿宋_GB2312" w:eastAsia="仿宋_GB2312"/>
                      <w:sz w:val="15"/>
                      <w:color w:val="000000"/>
                    </w:rPr>
                    <w:t>篮板选用 1800mm×1050mm 的矩形篮板（材 质为 SMC），篮圈上沿距地距离为 3050mm；</w:t>
                  </w:r>
                </w:p>
                <w:p>
                  <w:pPr>
                    <w:pStyle w:val="null3"/>
                    <w:jc w:val="left"/>
                  </w:pPr>
                  <w:r>
                    <w:rPr>
                      <w:rFonts w:ascii="仿宋_GB2312" w:hAnsi="仿宋_GB2312" w:cs="仿宋_GB2312" w:eastAsia="仿宋_GB2312"/>
                      <w:sz w:val="15"/>
                      <w:color w:val="000000"/>
                    </w:rPr>
                    <w:t>安装方式：直埋式，水泥浇筑，埋入深度≥ 900mm，基础坑≥800mm×800mm</w:t>
                  </w:r>
                  <w:r>
                    <w:rPr>
                      <w:rFonts w:ascii="仿宋_GB2312" w:hAnsi="仿宋_GB2312" w:cs="仿宋_GB2312" w:eastAsia="仿宋_GB2312"/>
                      <w:sz w:val="15"/>
                      <w:color w:val="000000"/>
                    </w:rPr>
                    <w:t>。</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室外乒乓球台</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符合GB19272-2011《室外健身器材的安全通用要求》并持有国家认证认可监督管理委员会批准具备体育用品认证资格的第三方认证机构依据GB19272-2011标准出具的认证证书；质保期8年。</w:t>
                  </w:r>
                </w:p>
                <w:p>
                  <w:pPr>
                    <w:pStyle w:val="null3"/>
                    <w:jc w:val="left"/>
                  </w:pPr>
                  <w:r>
                    <w:rPr>
                      <w:rFonts w:ascii="仿宋_GB2312" w:hAnsi="仿宋_GB2312" w:cs="仿宋_GB2312" w:eastAsia="仿宋_GB2312"/>
                      <w:sz w:val="15"/>
                      <w:color w:val="000000"/>
                    </w:rPr>
                    <w:t>主立柱尺寸及材料≥Φ60mm×3.0mm 钢管， 主 要 承 载 横 梁 尺 寸 及 材 料 ≥ 20mm × 30mm × 2.0mm 钢管；</w:t>
                  </w:r>
                </w:p>
                <w:p>
                  <w:pPr>
                    <w:pStyle w:val="null3"/>
                    <w:jc w:val="left"/>
                  </w:pPr>
                  <w:r>
                    <w:rPr>
                      <w:rFonts w:ascii="仿宋_GB2312" w:hAnsi="仿宋_GB2312" w:cs="仿宋_GB2312" w:eastAsia="仿宋_GB2312"/>
                      <w:sz w:val="15"/>
                      <w:color w:val="000000"/>
                    </w:rPr>
                    <w:t>台面采用 SMC 片状模塑料，整体高温模压一 次成型；</w:t>
                  </w:r>
                </w:p>
                <w:p>
                  <w:pPr>
                    <w:pStyle w:val="null3"/>
                    <w:jc w:val="left"/>
                  </w:pPr>
                  <w:r>
                    <w:rPr>
                      <w:rFonts w:ascii="仿宋_GB2312" w:hAnsi="仿宋_GB2312" w:cs="仿宋_GB2312" w:eastAsia="仿宋_GB2312"/>
                      <w:sz w:val="15"/>
                      <w:color w:val="000000"/>
                    </w:rPr>
                    <w:t>安装方式：预埋式。</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副</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28</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70AD47"/>
                    </w:rPr>
                    <w:t>3</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椭圆机</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符合GB19272-2011《室外健身器材的安全通用要求》并持有国家认证认可监督管理委员会批准具备体育用品认证资格的第三方认证机构依据GB19272-2011标准出具的认证证书；质保期8年。</w:t>
                  </w:r>
                </w:p>
                <w:p>
                  <w:pPr>
                    <w:pStyle w:val="null3"/>
                    <w:jc w:val="left"/>
                  </w:pPr>
                  <w:r>
                    <w:rPr>
                      <w:rFonts w:ascii="仿宋_GB2312" w:hAnsi="仿宋_GB2312" w:cs="仿宋_GB2312" w:eastAsia="仿宋_GB2312"/>
                      <w:sz w:val="15"/>
                      <w:color w:val="000000"/>
                    </w:rPr>
                    <w:t>主立柱尺寸及材料≥Φ114mm×3.0mm 钢管；</w:t>
                  </w:r>
                </w:p>
                <w:p>
                  <w:pPr>
                    <w:pStyle w:val="null3"/>
                    <w:jc w:val="left"/>
                  </w:pPr>
                  <w:r>
                    <w:rPr>
                      <w:rFonts w:ascii="仿宋_GB2312" w:hAnsi="仿宋_GB2312" w:cs="仿宋_GB2312" w:eastAsia="仿宋_GB2312"/>
                      <w:sz w:val="15"/>
                      <w:color w:val="000000"/>
                    </w:rPr>
                    <w:t>轴承采用深沟球轴承，器材各部位平垫、扣紧螺母等紧固件均采用不锈钢材质，且具有防松、防盗措施</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件</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23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三位扭腰器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符合GB19272-2011《室外健身器材的安全通用要求》并持有国家认证认可监督管理委员会批准具备体育用品认证资格的第三方认证机构依据GB19272-2011标准出具的认证证书；质保期8年。</w:t>
                  </w:r>
                </w:p>
                <w:p>
                  <w:pPr>
                    <w:pStyle w:val="null3"/>
                    <w:jc w:val="left"/>
                  </w:pPr>
                  <w:r>
                    <w:rPr>
                      <w:rFonts w:ascii="仿宋_GB2312" w:hAnsi="仿宋_GB2312" w:cs="仿宋_GB2312" w:eastAsia="仿宋_GB2312"/>
                      <w:sz w:val="15"/>
                      <w:color w:val="000000"/>
                    </w:rPr>
                    <w:t>主立柱尺寸及材料≥Φ114mm×3.0mm 钢管，主要承载横梁尺寸及材料≥Φ32mm×2.5mm 钢管；</w:t>
                  </w:r>
                </w:p>
                <w:p>
                  <w:pPr>
                    <w:pStyle w:val="null3"/>
                    <w:jc w:val="left"/>
                  </w:pPr>
                  <w:r>
                    <w:rPr>
                      <w:rFonts w:ascii="仿宋_GB2312" w:hAnsi="仿宋_GB2312" w:cs="仿宋_GB2312" w:eastAsia="仿宋_GB2312"/>
                      <w:sz w:val="15"/>
                      <w:color w:val="000000"/>
                    </w:rPr>
                    <w:t>脚踏部位设有防滑措施，扭腰盘具有阻尼装置。</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件</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23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双杠</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符合GB19272-2011《室外健身器材的安全通用要求》并持有国家认证认可监督管理委员会批准具备体育用品认证资格的第三方认证机构依据GB19272-2011标准出具的认证证书；质保期8年。</w:t>
                  </w:r>
                </w:p>
                <w:p>
                  <w:pPr>
                    <w:pStyle w:val="null3"/>
                    <w:jc w:val="left"/>
                  </w:pPr>
                  <w:r>
                    <w:rPr>
                      <w:rFonts w:ascii="仿宋_GB2312" w:hAnsi="仿宋_GB2312" w:cs="仿宋_GB2312" w:eastAsia="仿宋_GB2312"/>
                      <w:sz w:val="15"/>
                      <w:color w:val="000000"/>
                    </w:rPr>
                    <w:t>主立柱尺寸及材料≥Φ114mm×3.0mm 钢管。</w:t>
                  </w:r>
                </w:p>
                <w:p>
                  <w:pPr>
                    <w:pStyle w:val="null3"/>
                    <w:jc w:val="left"/>
                  </w:pPr>
                  <w:r>
                    <w:rPr>
                      <w:rFonts w:ascii="仿宋_GB2312" w:hAnsi="仿宋_GB2312" w:cs="仿宋_GB2312" w:eastAsia="仿宋_GB2312"/>
                      <w:sz w:val="15"/>
                      <w:color w:val="000000"/>
                    </w:rPr>
                    <w:t>直埋式安装。</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件</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23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上肢牵引器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符合GB19272-2011《室外健身器材的安全通用要求》并持有国家认证认可监督管理委员会批准具备体育用品认证资格的第三方认证机构依据GB19272-2011标准出具的认证证书；质保期8年。</w:t>
                  </w:r>
                </w:p>
                <w:p>
                  <w:pPr>
                    <w:pStyle w:val="null3"/>
                    <w:jc w:val="left"/>
                  </w:pPr>
                  <w:r>
                    <w:rPr>
                      <w:rFonts w:ascii="仿宋_GB2312" w:hAnsi="仿宋_GB2312" w:cs="仿宋_GB2312" w:eastAsia="仿宋_GB2312"/>
                      <w:sz w:val="15"/>
                      <w:color w:val="000000"/>
                    </w:rPr>
                    <w:t>主立柱尺寸及材料≥Φ114mm×3.0mm 钢管；</w:t>
                  </w:r>
                </w:p>
                <w:p>
                  <w:pPr>
                    <w:pStyle w:val="null3"/>
                    <w:jc w:val="left"/>
                  </w:pPr>
                  <w:r>
                    <w:rPr>
                      <w:rFonts w:ascii="仿宋_GB2312" w:hAnsi="仿宋_GB2312" w:cs="仿宋_GB2312" w:eastAsia="仿宋_GB2312"/>
                      <w:sz w:val="15"/>
                      <w:color w:val="000000"/>
                    </w:rPr>
                    <w:t>有限位装置且无刚性碰撞。</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件</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7</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太极推揉器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符合GB19272-2011《室外健身器材的安全通用要求》并持有国家认证认可监督管理委员会批准具备体育用品认证资格的第三方认证机构依据GB19272-2011标准出具的认证证书；质保期8年。</w:t>
                  </w:r>
                </w:p>
                <w:p>
                  <w:pPr>
                    <w:pStyle w:val="null3"/>
                    <w:jc w:val="left"/>
                  </w:pPr>
                  <w:r>
                    <w:rPr>
                      <w:rFonts w:ascii="仿宋_GB2312" w:hAnsi="仿宋_GB2312" w:cs="仿宋_GB2312" w:eastAsia="仿宋_GB2312"/>
                      <w:sz w:val="15"/>
                      <w:color w:val="000000"/>
                    </w:rPr>
                    <w:t>主立柱尺寸及材料≥Φ114mm×3mm 钢管，主要承载横梁尺寸及材料≥Φ60mm×3.0mm 钢 管；</w:t>
                  </w:r>
                </w:p>
                <w:p>
                  <w:pPr>
                    <w:pStyle w:val="null3"/>
                    <w:jc w:val="left"/>
                  </w:pPr>
                  <w:r>
                    <w:rPr>
                      <w:rFonts w:ascii="仿宋_GB2312" w:hAnsi="仿宋_GB2312" w:cs="仿宋_GB2312" w:eastAsia="仿宋_GB2312"/>
                      <w:sz w:val="15"/>
                      <w:color w:val="000000"/>
                    </w:rPr>
                    <w:t>转盘具有阻尼装置。</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件</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8</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腰背按摩器</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符合GB19272-2011《室外健身器材的安全通用要求》并持有国家认证认可监督管理委员会批准具备体育用品认证资格的第三方认证机构依据GB19272-2011标准出具的认证证书；质保期8年。</w:t>
                  </w:r>
                </w:p>
                <w:p>
                  <w:pPr>
                    <w:pStyle w:val="null3"/>
                    <w:jc w:val="left"/>
                  </w:pPr>
                  <w:r>
                    <w:rPr>
                      <w:rFonts w:ascii="仿宋_GB2312" w:hAnsi="仿宋_GB2312" w:cs="仿宋_GB2312" w:eastAsia="仿宋_GB2312"/>
                      <w:sz w:val="15"/>
                      <w:color w:val="000000"/>
                    </w:rPr>
                    <w:t>主立柱尺寸及材料≥Φ114mm×3mm 钢管；</w:t>
                  </w:r>
                </w:p>
                <w:p>
                  <w:pPr>
                    <w:pStyle w:val="null3"/>
                    <w:jc w:val="left"/>
                  </w:pPr>
                  <w:r>
                    <w:rPr>
                      <w:rFonts w:ascii="仿宋_GB2312" w:hAnsi="仿宋_GB2312" w:cs="仿宋_GB2312" w:eastAsia="仿宋_GB2312"/>
                      <w:sz w:val="15"/>
                      <w:color w:val="000000"/>
                    </w:rPr>
                    <w:t>主要承载横梁材料及尺寸≥Φ32mm×2.5mm钢管。</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件</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23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9</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告示牌</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符合GB19272-2011《室外健身器材的安全通用要求》并持有国家认证认可监督管理委员会批准具备体育用品认证资格的第三方认证机构依据GB19272-2011标准出具的认证证书；质保期8年。</w:t>
                  </w:r>
                </w:p>
                <w:p>
                  <w:pPr>
                    <w:pStyle w:val="null3"/>
                    <w:jc w:val="left"/>
                  </w:pPr>
                  <w:r>
                    <w:rPr>
                      <w:rFonts w:ascii="仿宋_GB2312" w:hAnsi="仿宋_GB2312" w:cs="仿宋_GB2312" w:eastAsia="仿宋_GB2312"/>
                      <w:sz w:val="15"/>
                      <w:color w:val="000000"/>
                    </w:rPr>
                    <w:t>主要承载立柱尺寸及材料≥Φ114mm×3.0mm 钢管；</w:t>
                  </w:r>
                </w:p>
                <w:p>
                  <w:pPr>
                    <w:pStyle w:val="null3"/>
                    <w:jc w:val="left"/>
                  </w:pPr>
                  <w:r>
                    <w:rPr>
                      <w:rFonts w:ascii="仿宋_GB2312" w:hAnsi="仿宋_GB2312" w:cs="仿宋_GB2312" w:eastAsia="仿宋_GB2312"/>
                      <w:sz w:val="15"/>
                      <w:color w:val="000000"/>
                    </w:rPr>
                    <w:t>告示牌牌面采用不锈钢材。</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件</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23</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悬浮地板（核心产品）</w:t>
                  </w:r>
                </w:p>
              </w:tc>
              <w:tc>
                <w:tcPr>
                  <w:tcW w:type="dxa" w:w="1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产品要求：</w:t>
                  </w:r>
                </w:p>
                <w:p>
                  <w:pPr>
                    <w:pStyle w:val="null3"/>
                    <w:jc w:val="left"/>
                  </w:pPr>
                  <w:r>
                    <w:rPr>
                      <w:rFonts w:ascii="仿宋_GB2312" w:hAnsi="仿宋_GB2312" w:cs="仿宋_GB2312" w:eastAsia="仿宋_GB2312"/>
                      <w:sz w:val="15"/>
                      <w:color w:val="000000"/>
                    </w:rPr>
                    <w:t>1. 材料：采用PP(聚丙烯)，无毒无味、防水耐湿、不寄生细菌、绿色环保，安全卫生。</w:t>
                  </w:r>
                </w:p>
                <w:p>
                  <w:pPr>
                    <w:pStyle w:val="null3"/>
                    <w:jc w:val="left"/>
                  </w:pPr>
                  <w:r>
                    <w:rPr>
                      <w:rFonts w:ascii="仿宋_GB2312" w:hAnsi="仿宋_GB2312" w:cs="仿宋_GB2312" w:eastAsia="仿宋_GB2312"/>
                      <w:sz w:val="15"/>
                      <w:color w:val="000000"/>
                    </w:rPr>
                    <w:t>2.结构：面层磨砂哑光处理，耐磨防滑，不反光；宽梁加大平面接触率，摩擦力增强，有利于排水；立体多重固化结构，立柱顶千斤原理，保证上下支撑受力.</w:t>
                  </w:r>
                </w:p>
                <w:p>
                  <w:pPr>
                    <w:pStyle w:val="null3"/>
                    <w:jc w:val="left"/>
                  </w:pPr>
                  <w:r>
                    <w:rPr>
                      <w:rFonts w:ascii="仿宋_GB2312" w:hAnsi="仿宋_GB2312" w:cs="仿宋_GB2312" w:eastAsia="仿宋_GB2312"/>
                      <w:sz w:val="15"/>
                      <w:color w:val="000000"/>
                    </w:rPr>
                    <w:t>3.卡扣机构：侧面由4大3小加粗锁扣组合构成，左右支撑受力均匀稳定，不位移、不脱扣,安全保护性能更优。</w:t>
                  </w:r>
                </w:p>
                <w:p>
                  <w:pPr>
                    <w:pStyle w:val="null3"/>
                    <w:jc w:val="left"/>
                  </w:pPr>
                  <w:r>
                    <w:rPr>
                      <w:rFonts w:ascii="仿宋_GB2312" w:hAnsi="仿宋_GB2312" w:cs="仿宋_GB2312" w:eastAsia="仿宋_GB2312"/>
                      <w:sz w:val="15"/>
                      <w:color w:val="000000"/>
                    </w:rPr>
                    <w:t>产品参数：</w:t>
                  </w:r>
                </w:p>
                <w:p>
                  <w:pPr>
                    <w:pStyle w:val="null3"/>
                    <w:jc w:val="left"/>
                  </w:pPr>
                  <w:r>
                    <w:rPr>
                      <w:rFonts w:ascii="仿宋_GB2312" w:hAnsi="仿宋_GB2312" w:cs="仿宋_GB2312" w:eastAsia="仿宋_GB2312"/>
                      <w:sz w:val="15"/>
                      <w:color w:val="000000"/>
                    </w:rPr>
                    <w:t>物理性能：</w:t>
                  </w:r>
                </w:p>
                <w:p>
                  <w:pPr>
                    <w:pStyle w:val="null3"/>
                    <w:jc w:val="left"/>
                  </w:pPr>
                  <w:r>
                    <w:rPr>
                      <w:rFonts w:ascii="仿宋_GB2312" w:hAnsi="仿宋_GB2312" w:cs="仿宋_GB2312" w:eastAsia="仿宋_GB2312"/>
                      <w:sz w:val="15"/>
                      <w:color w:val="000000"/>
                    </w:rPr>
                    <w:t>1）地板规格要求：30.48cm*30.48cm，厚度:≥1.58cm</w:t>
                  </w:r>
                </w:p>
                <w:p>
                  <w:pPr>
                    <w:pStyle w:val="null3"/>
                    <w:jc w:val="left"/>
                  </w:pPr>
                  <w:r>
                    <w:rPr>
                      <w:rFonts w:ascii="仿宋_GB2312" w:hAnsi="仿宋_GB2312" w:cs="仿宋_GB2312" w:eastAsia="仿宋_GB2312"/>
                      <w:sz w:val="15"/>
                      <w:color w:val="000000"/>
                    </w:rPr>
                    <w:t>2）冲击吸收：20-50%</w:t>
                  </w:r>
                </w:p>
                <w:p>
                  <w:pPr>
                    <w:pStyle w:val="null3"/>
                    <w:jc w:val="left"/>
                  </w:pPr>
                  <w:r>
                    <w:rPr>
                      <w:rFonts w:ascii="仿宋_GB2312" w:hAnsi="仿宋_GB2312" w:cs="仿宋_GB2312" w:eastAsia="仿宋_GB2312"/>
                      <w:sz w:val="15"/>
                      <w:color w:val="000000"/>
                    </w:rPr>
                    <w:t>3）垂直变形：0.6-3.0mm</w:t>
                  </w:r>
                </w:p>
                <w:p>
                  <w:pPr>
                    <w:pStyle w:val="null3"/>
                    <w:jc w:val="left"/>
                  </w:pPr>
                  <w:r>
                    <w:rPr>
                      <w:rFonts w:ascii="仿宋_GB2312" w:hAnsi="仿宋_GB2312" w:cs="仿宋_GB2312" w:eastAsia="仿宋_GB2312"/>
                      <w:sz w:val="15"/>
                      <w:color w:val="000000"/>
                    </w:rPr>
                    <w:t>4）抗滑值(干测)：80-110 BPN,20℃</w:t>
                  </w:r>
                </w:p>
                <w:p>
                  <w:pPr>
                    <w:pStyle w:val="null3"/>
                    <w:jc w:val="left"/>
                  </w:pPr>
                  <w:r>
                    <w:rPr>
                      <w:rFonts w:ascii="仿宋_GB2312" w:hAnsi="仿宋_GB2312" w:cs="仿宋_GB2312" w:eastAsia="仿宋_GB2312"/>
                      <w:sz w:val="15"/>
                      <w:color w:val="000000"/>
                    </w:rPr>
                    <w:t>5）拉伸强度：≥0.4MPa</w:t>
                  </w:r>
                </w:p>
                <w:p>
                  <w:pPr>
                    <w:pStyle w:val="null3"/>
                    <w:jc w:val="left"/>
                  </w:pPr>
                  <w:r>
                    <w:rPr>
                      <w:rFonts w:ascii="仿宋_GB2312" w:hAnsi="仿宋_GB2312" w:cs="仿宋_GB2312" w:eastAsia="仿宋_GB2312"/>
                      <w:sz w:val="15"/>
                      <w:color w:val="000000"/>
                    </w:rPr>
                    <w:t>化学性能：</w:t>
                  </w:r>
                </w:p>
                <w:p>
                  <w:pPr>
                    <w:pStyle w:val="null3"/>
                    <w:jc w:val="left"/>
                  </w:pPr>
                  <w:r>
                    <w:rPr>
                      <w:rFonts w:ascii="仿宋_GB2312" w:hAnsi="仿宋_GB2312" w:cs="仿宋_GB2312" w:eastAsia="仿宋_GB2312"/>
                      <w:sz w:val="15"/>
                      <w:color w:val="000000"/>
                    </w:rPr>
                    <w:t>6）甲醛：≤0.4mg/(m².h)</w:t>
                  </w:r>
                </w:p>
                <w:p>
                  <w:pPr>
                    <w:pStyle w:val="null3"/>
                    <w:jc w:val="left"/>
                  </w:pPr>
                  <w:r>
                    <w:rPr>
                      <w:rFonts w:ascii="仿宋_GB2312" w:hAnsi="仿宋_GB2312" w:cs="仿宋_GB2312" w:eastAsia="仿宋_GB2312"/>
                      <w:sz w:val="15"/>
                      <w:color w:val="000000"/>
                    </w:rPr>
                    <w:t>7）甲苯、二甲苯和乙苯总和：≤1.0mg/(m².h)</w:t>
                  </w:r>
                </w:p>
                <w:p>
                  <w:pPr>
                    <w:pStyle w:val="null3"/>
                    <w:jc w:val="left"/>
                  </w:pPr>
                  <w:r>
                    <w:rPr>
                      <w:rFonts w:ascii="仿宋_GB2312" w:hAnsi="仿宋_GB2312" w:cs="仿宋_GB2312" w:eastAsia="仿宋_GB2312"/>
                      <w:sz w:val="15"/>
                      <w:color w:val="000000"/>
                    </w:rPr>
                    <w:t>8）可溶性铅含量：≤50mg/kg；可溶性镉含量：≤10mg/kg</w:t>
                  </w:r>
                </w:p>
                <w:p>
                  <w:pPr>
                    <w:pStyle w:val="null3"/>
                    <w:jc w:val="left"/>
                  </w:pPr>
                  <w:r>
                    <w:rPr>
                      <w:rFonts w:ascii="仿宋_GB2312" w:hAnsi="仿宋_GB2312" w:cs="仿宋_GB2312" w:eastAsia="仿宋_GB2312"/>
                      <w:sz w:val="15"/>
                      <w:color w:val="000000"/>
                    </w:rPr>
                    <w:t>9）18种多环芳烃总和≤50mg /kg</w:t>
                  </w:r>
                </w:p>
                <w:p>
                  <w:pPr>
                    <w:pStyle w:val="null3"/>
                    <w:jc w:val="left"/>
                  </w:pPr>
                  <w:r>
                    <w:rPr>
                      <w:rFonts w:ascii="仿宋_GB2312" w:hAnsi="仿宋_GB2312" w:cs="仿宋_GB2312" w:eastAsia="仿宋_GB2312"/>
                      <w:sz w:val="15"/>
                      <w:color w:val="000000"/>
                    </w:rPr>
                    <w:t>老化性能：</w:t>
                  </w:r>
                </w:p>
                <w:p>
                  <w:pPr>
                    <w:pStyle w:val="null3"/>
                    <w:jc w:val="left"/>
                  </w:pPr>
                  <w:r>
                    <w:rPr>
                      <w:rFonts w:ascii="仿宋_GB2312" w:hAnsi="仿宋_GB2312" w:cs="仿宋_GB2312" w:eastAsia="仿宋_GB2312"/>
                      <w:sz w:val="15"/>
                      <w:color w:val="000000"/>
                    </w:rPr>
                    <w:t>10）★为保证运动地板在四季变化条件下性能稳定，提供送样日期到签发日期≥2000h环境适应性循环测试（湿热-冻融-氙灯-雨水浸泡）检测报告，外观：无出油、无裂纹、无塌陷、无折皱、无污染、无粉化，无明显色差，灰卡等级4-5级，抗滑值依据GB36246-2018标准80-110，报告须附带CMA、CNAS标识和全国认证认可信息公共服务平台查询截图</w:t>
                  </w:r>
                </w:p>
                <w:p>
                  <w:pPr>
                    <w:pStyle w:val="null3"/>
                    <w:jc w:val="left"/>
                  </w:pPr>
                  <w:r>
                    <w:rPr>
                      <w:rFonts w:ascii="仿宋_GB2312" w:hAnsi="仿宋_GB2312" w:cs="仿宋_GB2312" w:eastAsia="仿宋_GB2312"/>
                      <w:sz w:val="15"/>
                      <w:color w:val="000000"/>
                    </w:rPr>
                    <w:t>11）★为了有效降低病毒的传播效率，提供安全可靠的运动环境，提供送样日期到签发日期≥2000h耐消毒水-中性洗涤剂循环试验检测报告，外观：无起泡、无出油、无裂纹、无塌陷、无折皱、无污染、无粉化，无明显色差，灰卡等级4-5级，尺寸变化率≤0.4%，报告须附带CMA、CNAS标识和全国认证认可信息公共服务平台查询截图</w:t>
                  </w:r>
                </w:p>
                <w:p>
                  <w:pPr>
                    <w:pStyle w:val="null3"/>
                    <w:jc w:val="left"/>
                  </w:pPr>
                  <w:r>
                    <w:rPr>
                      <w:rFonts w:ascii="仿宋_GB2312" w:hAnsi="仿宋_GB2312" w:cs="仿宋_GB2312" w:eastAsia="仿宋_GB2312"/>
                      <w:sz w:val="15"/>
                      <w:color w:val="000000"/>
                    </w:rPr>
                    <w:t>以上加★项为实质响应项，未满足按无效处理，投标时须提供国家认可的检测机构出具的检测报告原件扫描件，为保证产品的技术性能成熟度，所有检测报告获取时间均须为本次采购公告发布前</w:t>
                  </w:r>
                </w:p>
                <w:p>
                  <w:pPr>
                    <w:pStyle w:val="null3"/>
                    <w:jc w:val="left"/>
                  </w:p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15"/>
                <w:color w:val="000000"/>
              </w:rPr>
              <w:t>本标段核心产品：地埋式篮球架，悬浮地板</w:t>
            </w:r>
          </w:p>
          <w:p>
            <w:pPr>
              <w:pStyle w:val="null3"/>
              <w:jc w:val="both"/>
            </w:pPr>
            <w:r>
              <w:rPr>
                <w:rFonts w:ascii="仿宋_GB2312" w:hAnsi="仿宋_GB2312" w:cs="仿宋_GB2312" w:eastAsia="仿宋_GB2312"/>
                <w:sz w:val="15"/>
                <w:color w:val="000000"/>
              </w:rPr>
              <w:t>★1、以上所有器材（悬浮地板除外）须符合GB19272-2011《室外健身器材的安全通用要求》（投标人须提供国家认证认可监督管理委员会批准的第三方认证机构提供的认证证书及确认函作为证明材料）</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标的名称：多功能运动场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5"/>
              </w:rPr>
              <w:t>1.笼式足球场</w:t>
            </w:r>
          </w:p>
          <w:tbl>
            <w:tblPr>
              <w:tblInd w:type="dxa" w:w="135"/>
              <w:tblBorders>
                <w:top w:val="none" w:color="000000" w:sz="4"/>
                <w:left w:val="none" w:color="000000" w:sz="4"/>
                <w:bottom w:val="none" w:color="000000" w:sz="4"/>
                <w:right w:val="none" w:color="000000" w:sz="4"/>
                <w:insideH w:val="none"/>
                <w:insideV w:val="none"/>
              </w:tblBorders>
            </w:tblPr>
            <w:tblGrid>
              <w:gridCol w:w="263"/>
              <w:gridCol w:w="280"/>
              <w:gridCol w:w="1482"/>
              <w:gridCol w:w="263"/>
              <w:gridCol w:w="263"/>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rPr>
                    <w:t>序号</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rPr>
                    <w:t>器材名称</w:t>
                  </w:r>
                </w:p>
              </w:tc>
              <w:tc>
                <w:tcPr>
                  <w:tcW w:type="dxa" w:w="1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rPr>
                    <w:t>规格参数</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rPr>
                    <w:t>单位</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rPr>
                    <w:t>数量</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围网</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围网颜色为绿色，设置在边线、端线1.5米以外，高度不小于4.5米，风载荷标准值不小于0.35KN/平米。围网表面PVC包塑，丝径04mm</w:t>
                  </w:r>
                  <w:r>
                    <w:rPr>
                      <w:rFonts w:ascii="仿宋_GB2312" w:hAnsi="仿宋_GB2312" w:cs="仿宋_GB2312" w:eastAsia="仿宋_GB2312"/>
                      <w:sz w:val="15"/>
                      <w:color w:val="000000"/>
                    </w:rPr>
                    <w:t>，</w:t>
                  </w:r>
                  <w:r>
                    <w:rPr>
                      <w:rFonts w:ascii="仿宋_GB2312" w:hAnsi="仿宋_GB2312" w:cs="仿宋_GB2312" w:eastAsia="仿宋_GB2312"/>
                      <w:sz w:val="15"/>
                      <w:color w:val="000000"/>
                    </w:rPr>
                    <w:t>网孔不大于50mm</w:t>
                  </w:r>
                  <w:r>
                    <w:rPr>
                      <w:rFonts w:ascii="仿宋_GB2312" w:hAnsi="仿宋_GB2312" w:cs="仿宋_GB2312" w:eastAsia="仿宋_GB2312"/>
                      <w:sz w:val="15"/>
                      <w:color w:val="000000"/>
                    </w:rPr>
                    <w:t>×</w:t>
                  </w:r>
                  <w:r>
                    <w:rPr>
                      <w:rFonts w:ascii="仿宋_GB2312" w:hAnsi="仿宋_GB2312" w:cs="仿宋_GB2312" w:eastAsia="仿宋_GB2312"/>
                      <w:sz w:val="15"/>
                      <w:color w:val="000000"/>
                    </w:rPr>
                    <w:t>50mm</w:t>
                  </w:r>
                  <w:r>
                    <w:rPr>
                      <w:rFonts w:ascii="仿宋_GB2312" w:hAnsi="仿宋_GB2312" w:cs="仿宋_GB2312" w:eastAsia="仿宋_GB2312"/>
                      <w:sz w:val="15"/>
                      <w:color w:val="000000"/>
                    </w:rPr>
                    <w:t>；</w:t>
                  </w:r>
                  <w:r>
                    <w:rPr>
                      <w:rFonts w:ascii="仿宋_GB2312" w:hAnsi="仿宋_GB2312" w:cs="仿宋_GB2312" w:eastAsia="仿宋_GB2312"/>
                      <w:sz w:val="15"/>
                      <w:color w:val="000000"/>
                    </w:rPr>
                    <w:t>栅栏网片的纵横连接件应采用不小于f6mm的圆钢，栅栏网片圆钢间距小于70mm，连接结构稳定</w:t>
                  </w:r>
                  <w:r>
                    <w:rPr>
                      <w:rFonts w:ascii="仿宋_GB2312" w:hAnsi="仿宋_GB2312" w:cs="仿宋_GB2312" w:eastAsia="仿宋_GB2312"/>
                      <w:sz w:val="15"/>
                      <w:color w:val="000000"/>
                    </w:rPr>
                    <w:t>；</w:t>
                  </w:r>
                  <w:r>
                    <w:rPr>
                      <w:rFonts w:ascii="仿宋_GB2312" w:hAnsi="仿宋_GB2312" w:cs="仿宋_GB2312" w:eastAsia="仿宋_GB2312"/>
                      <w:sz w:val="15"/>
                      <w:color w:val="000000"/>
                    </w:rPr>
                    <w:t>围网主立柱采用直径不小于76mm</w:t>
                  </w:r>
                  <w:r>
                    <w:rPr>
                      <w:rFonts w:ascii="仿宋_GB2312" w:hAnsi="仿宋_GB2312" w:cs="仿宋_GB2312" w:eastAsia="仿宋_GB2312"/>
                      <w:sz w:val="15"/>
                      <w:color w:val="000000"/>
                    </w:rPr>
                    <w:t>×</w:t>
                  </w:r>
                  <w:r>
                    <w:rPr>
                      <w:rFonts w:ascii="仿宋_GB2312" w:hAnsi="仿宋_GB2312" w:cs="仿宋_GB2312" w:eastAsia="仿宋_GB2312"/>
                      <w:sz w:val="15"/>
                      <w:color w:val="000000"/>
                    </w:rPr>
                    <w:t>3mm或等强度管材，间距不大于3米，并采用软质保护套包裹。立柱埋入地下的深度应不小于400mm(特殊地层具体分析)</w:t>
                  </w:r>
                  <w:r>
                    <w:rPr>
                      <w:rFonts w:ascii="仿宋_GB2312" w:hAnsi="仿宋_GB2312" w:cs="仿宋_GB2312" w:eastAsia="仿宋_GB2312"/>
                      <w:sz w:val="15"/>
                      <w:color w:val="000000"/>
                    </w:rPr>
                    <w:t>；</w:t>
                  </w:r>
                  <w:r>
                    <w:rPr>
                      <w:rFonts w:ascii="仿宋_GB2312" w:hAnsi="仿宋_GB2312" w:cs="仿宋_GB2312" w:eastAsia="仿宋_GB2312"/>
                      <w:sz w:val="15"/>
                      <w:color w:val="000000"/>
                    </w:rPr>
                    <w:t>设置网门2个，网门&gt;1.0米。在每个网门周边明显位置悬挂标识牌，尺寸为80cm</w:t>
                  </w:r>
                  <w:r>
                    <w:rPr>
                      <w:rFonts w:ascii="仿宋_GB2312" w:hAnsi="仿宋_GB2312" w:cs="仿宋_GB2312" w:eastAsia="仿宋_GB2312"/>
                      <w:sz w:val="15"/>
                      <w:color w:val="000000"/>
                    </w:rPr>
                    <w:t>×</w:t>
                  </w:r>
                  <w:r>
                    <w:rPr>
                      <w:rFonts w:ascii="仿宋_GB2312" w:hAnsi="仿宋_GB2312" w:cs="仿宋_GB2312" w:eastAsia="仿宋_GB2312"/>
                      <w:sz w:val="15"/>
                      <w:color w:val="000000"/>
                    </w:rPr>
                    <w:t>60cn，标牌内容另行确定</w:t>
                  </w:r>
                  <w:r>
                    <w:rPr>
                      <w:rFonts w:ascii="仿宋_GB2312" w:hAnsi="仿宋_GB2312" w:cs="仿宋_GB2312" w:eastAsia="仿宋_GB2312"/>
                      <w:sz w:val="15"/>
                      <w:color w:val="000000"/>
                    </w:rPr>
                    <w:t>；</w:t>
                  </w:r>
                  <w:r>
                    <w:rPr>
                      <w:rFonts w:ascii="仿宋_GB2312" w:hAnsi="仿宋_GB2312" w:cs="仿宋_GB2312" w:eastAsia="仿宋_GB2312"/>
                      <w:sz w:val="15"/>
                      <w:color w:val="000000"/>
                    </w:rPr>
                    <w:t>易接触的管材末端无锐角，螺钉、螺母等紧固件需做防锈、防松处理。</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414</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2</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人造草（含划线）</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color w:val="000000"/>
                    </w:rPr>
                    <w:t>球场地面铺设田园绿和橄榄绿双色人造草皮</w:t>
                  </w:r>
                  <w:r>
                    <w:rPr>
                      <w:rFonts w:ascii="仿宋_GB2312" w:hAnsi="仿宋_GB2312" w:cs="仿宋_GB2312" w:eastAsia="仿宋_GB2312"/>
                      <w:sz w:val="15"/>
                      <w:color w:val="000000"/>
                    </w:rPr>
                    <w:t>。</w:t>
                  </w:r>
                </w:p>
                <w:p>
                  <w:pPr>
                    <w:pStyle w:val="null3"/>
                    <w:jc w:val="left"/>
                  </w:pPr>
                  <w:r>
                    <w:rPr>
                      <w:rFonts w:ascii="仿宋_GB2312" w:hAnsi="仿宋_GB2312" w:cs="仿宋_GB2312" w:eastAsia="仿宋_GB2312"/>
                      <w:sz w:val="15"/>
                      <w:color w:val="000000"/>
                    </w:rPr>
                    <w:t>2）</w:t>
                  </w:r>
                  <w:r>
                    <w:rPr>
                      <w:rFonts w:ascii="仿宋_GB2312" w:hAnsi="仿宋_GB2312" w:cs="仿宋_GB2312" w:eastAsia="仿宋_GB2312"/>
                      <w:sz w:val="15"/>
                      <w:color w:val="000000"/>
                    </w:rPr>
                    <w:t>★类型</w:t>
                  </w:r>
                  <w:r>
                    <w:rPr>
                      <w:rFonts w:ascii="仿宋_GB2312" w:hAnsi="仿宋_GB2312" w:cs="仿宋_GB2312" w:eastAsia="仿宋_GB2312"/>
                      <w:sz w:val="15"/>
                      <w:color w:val="000000"/>
                    </w:rPr>
                    <w:t>：</w:t>
                  </w:r>
                  <w:r>
                    <w:rPr>
                      <w:rFonts w:ascii="仿宋_GB2312" w:hAnsi="仿宋_GB2312" w:cs="仿宋_GB2312" w:eastAsia="仿宋_GB2312"/>
                      <w:sz w:val="15"/>
                      <w:color w:val="000000"/>
                    </w:rPr>
                    <w:t>加筋单丝草</w:t>
                  </w:r>
                </w:p>
                <w:p>
                  <w:pPr>
                    <w:pStyle w:val="null3"/>
                    <w:jc w:val="left"/>
                  </w:pPr>
                  <w:r>
                    <w:rPr>
                      <w:rFonts w:ascii="仿宋_GB2312" w:hAnsi="仿宋_GB2312" w:cs="仿宋_GB2312" w:eastAsia="仿宋_GB2312"/>
                      <w:sz w:val="15"/>
                      <w:color w:val="000000"/>
                    </w:rPr>
                    <w:t>3)</w:t>
                  </w:r>
                  <w:r>
                    <w:rPr>
                      <w:rFonts w:ascii="仿宋_GB2312" w:hAnsi="仿宋_GB2312" w:cs="仿宋_GB2312" w:eastAsia="仿宋_GB2312"/>
                      <w:sz w:val="15"/>
                      <w:color w:val="000000"/>
                    </w:rPr>
                    <w:t>★工艺</w:t>
                  </w:r>
                  <w:r>
                    <w:rPr>
                      <w:rFonts w:ascii="仿宋_GB2312" w:hAnsi="仿宋_GB2312" w:cs="仿宋_GB2312" w:eastAsia="仿宋_GB2312"/>
                      <w:sz w:val="15"/>
                      <w:color w:val="000000"/>
                    </w:rPr>
                    <w:t>：</w:t>
                  </w:r>
                  <w:r>
                    <w:rPr>
                      <w:rFonts w:ascii="仿宋_GB2312" w:hAnsi="仿宋_GB2312" w:cs="仿宋_GB2312" w:eastAsia="仿宋_GB2312"/>
                      <w:sz w:val="15"/>
                      <w:color w:val="000000"/>
                    </w:rPr>
                    <w:t>加捻工艺，草丝不带绒毛、不包纱</w:t>
                  </w:r>
                </w:p>
                <w:p>
                  <w:pPr>
                    <w:pStyle w:val="null3"/>
                    <w:jc w:val="left"/>
                  </w:pPr>
                  <w:r>
                    <w:rPr>
                      <w:rFonts w:ascii="仿宋_GB2312" w:hAnsi="仿宋_GB2312" w:cs="仿宋_GB2312" w:eastAsia="仿宋_GB2312"/>
                      <w:sz w:val="15"/>
                      <w:color w:val="000000"/>
                    </w:rPr>
                    <w:t>4)</w:t>
                  </w:r>
                  <w:r>
                    <w:rPr>
                      <w:rFonts w:ascii="仿宋_GB2312" w:hAnsi="仿宋_GB2312" w:cs="仿宋_GB2312" w:eastAsia="仿宋_GB2312"/>
                      <w:sz w:val="15"/>
                      <w:color w:val="000000"/>
                    </w:rPr>
                    <w:t>★草丝材质</w:t>
                  </w:r>
                  <w:r>
                    <w:rPr>
                      <w:rFonts w:ascii="仿宋_GB2312" w:hAnsi="仿宋_GB2312" w:cs="仿宋_GB2312" w:eastAsia="仿宋_GB2312"/>
                      <w:sz w:val="15"/>
                      <w:color w:val="000000"/>
                    </w:rPr>
                    <w:t>：</w:t>
                  </w:r>
                  <w:r>
                    <w:rPr>
                      <w:rFonts w:ascii="仿宋_GB2312" w:hAnsi="仿宋_GB2312" w:cs="仿宋_GB2312" w:eastAsia="仿宋_GB2312"/>
                      <w:sz w:val="15"/>
                      <w:color w:val="000000"/>
                    </w:rPr>
                    <w:t>高碳 PE</w:t>
                  </w:r>
                </w:p>
                <w:p>
                  <w:pPr>
                    <w:pStyle w:val="null3"/>
                    <w:jc w:val="left"/>
                  </w:pPr>
                  <w:r>
                    <w:rPr>
                      <w:rFonts w:ascii="仿宋_GB2312" w:hAnsi="仿宋_GB2312" w:cs="仿宋_GB2312" w:eastAsia="仿宋_GB2312"/>
                      <w:sz w:val="15"/>
                      <w:color w:val="000000"/>
                    </w:rPr>
                    <w:t>5)</w:t>
                  </w:r>
                  <w:r>
                    <w:rPr>
                      <w:rFonts w:ascii="仿宋_GB2312" w:hAnsi="仿宋_GB2312" w:cs="仿宋_GB2312" w:eastAsia="仿宋_GB2312"/>
                      <w:sz w:val="15"/>
                      <w:color w:val="000000"/>
                    </w:rPr>
                    <w:t>★行距</w:t>
                  </w:r>
                  <w:r>
                    <w:rPr>
                      <w:rFonts w:ascii="仿宋_GB2312" w:hAnsi="仿宋_GB2312" w:cs="仿宋_GB2312" w:eastAsia="仿宋_GB2312"/>
                      <w:sz w:val="15"/>
                      <w:color w:val="000000"/>
                    </w:rPr>
                    <w:t>：</w:t>
                  </w:r>
                  <w:r>
                    <w:rPr>
                      <w:rFonts w:ascii="仿宋_GB2312" w:hAnsi="仿宋_GB2312" w:cs="仿宋_GB2312" w:eastAsia="仿宋_GB2312"/>
                      <w:sz w:val="15"/>
                      <w:color w:val="000000"/>
                    </w:rPr>
                    <w:t>5/8英寸</w:t>
                  </w:r>
                </w:p>
                <w:p>
                  <w:pPr>
                    <w:pStyle w:val="null3"/>
                    <w:jc w:val="left"/>
                  </w:pPr>
                  <w:r>
                    <w:rPr>
                      <w:rFonts w:ascii="仿宋_GB2312" w:hAnsi="仿宋_GB2312" w:cs="仿宋_GB2312" w:eastAsia="仿宋_GB2312"/>
                      <w:sz w:val="15"/>
                      <w:color w:val="000000"/>
                    </w:rPr>
                    <w:t>6)</w:t>
                  </w:r>
                  <w:r>
                    <w:rPr>
                      <w:rFonts w:ascii="仿宋_GB2312" w:hAnsi="仿宋_GB2312" w:cs="仿宋_GB2312" w:eastAsia="仿宋_GB2312"/>
                      <w:sz w:val="15"/>
                      <w:color w:val="000000"/>
                    </w:rPr>
                    <w:t>★分特值</w:t>
                  </w:r>
                  <w:r>
                    <w:rPr>
                      <w:rFonts w:ascii="仿宋_GB2312" w:hAnsi="仿宋_GB2312" w:cs="仿宋_GB2312" w:eastAsia="仿宋_GB2312"/>
                      <w:sz w:val="15"/>
                      <w:color w:val="000000"/>
                    </w:rPr>
                    <w:t>≥8800 DTEX</w:t>
                  </w:r>
                </w:p>
                <w:p>
                  <w:pPr>
                    <w:pStyle w:val="null3"/>
                    <w:jc w:val="left"/>
                  </w:pPr>
                  <w:r>
                    <w:rPr>
                      <w:rFonts w:ascii="仿宋_GB2312" w:hAnsi="仿宋_GB2312" w:cs="仿宋_GB2312" w:eastAsia="仿宋_GB2312"/>
                      <w:sz w:val="15"/>
                      <w:color w:val="000000"/>
                    </w:rPr>
                    <w:t>7)</w:t>
                  </w:r>
                  <w:r>
                    <w:rPr>
                      <w:rFonts w:ascii="仿宋_GB2312" w:hAnsi="仿宋_GB2312" w:cs="仿宋_GB2312" w:eastAsia="仿宋_GB2312"/>
                      <w:sz w:val="15"/>
                      <w:color w:val="000000"/>
                    </w:rPr>
                    <w:t>★草丝宽度</w:t>
                  </w:r>
                  <w:r>
                    <w:rPr>
                      <w:rFonts w:ascii="仿宋_GB2312" w:hAnsi="仿宋_GB2312" w:cs="仿宋_GB2312" w:eastAsia="仿宋_GB2312"/>
                      <w:sz w:val="15"/>
                      <w:color w:val="000000"/>
                    </w:rPr>
                    <w:t>：</w:t>
                  </w:r>
                  <w:r>
                    <w:rPr>
                      <w:rFonts w:ascii="仿宋_GB2312" w:hAnsi="仿宋_GB2312" w:cs="仿宋_GB2312" w:eastAsia="仿宋_GB2312"/>
                      <w:sz w:val="15"/>
                      <w:color w:val="000000"/>
                    </w:rPr>
                    <w:t>1.5mm±5%</w:t>
                  </w:r>
                </w:p>
                <w:p>
                  <w:pPr>
                    <w:pStyle w:val="null3"/>
                    <w:jc w:val="left"/>
                  </w:pPr>
                  <w:r>
                    <w:rPr>
                      <w:rFonts w:ascii="仿宋_GB2312" w:hAnsi="仿宋_GB2312" w:cs="仿宋_GB2312" w:eastAsia="仿宋_GB2312"/>
                      <w:sz w:val="15"/>
                      <w:color w:val="000000"/>
                    </w:rPr>
                    <w:t>8)</w:t>
                  </w:r>
                  <w:r>
                    <w:rPr>
                      <w:rFonts w:ascii="仿宋_GB2312" w:hAnsi="仿宋_GB2312" w:cs="仿宋_GB2312" w:eastAsia="仿宋_GB2312"/>
                      <w:sz w:val="15"/>
                      <w:color w:val="000000"/>
                    </w:rPr>
                    <w:t>★草丝厚度</w:t>
                  </w:r>
                  <w:r>
                    <w:rPr>
                      <w:rFonts w:ascii="仿宋_GB2312" w:hAnsi="仿宋_GB2312" w:cs="仿宋_GB2312" w:eastAsia="仿宋_GB2312"/>
                      <w:sz w:val="15"/>
                      <w:color w:val="000000"/>
                    </w:rPr>
                    <w:t>：</w:t>
                  </w:r>
                  <w:r>
                    <w:rPr>
                      <w:rFonts w:ascii="仿宋_GB2312" w:hAnsi="仿宋_GB2312" w:cs="仿宋_GB2312" w:eastAsia="仿宋_GB2312"/>
                      <w:sz w:val="15"/>
                      <w:color w:val="000000"/>
                    </w:rPr>
                    <w:t>260μm±5%</w:t>
                  </w:r>
                </w:p>
                <w:p>
                  <w:pPr>
                    <w:pStyle w:val="null3"/>
                    <w:jc w:val="left"/>
                  </w:pPr>
                  <w:r>
                    <w:rPr>
                      <w:rFonts w:ascii="仿宋_GB2312" w:hAnsi="仿宋_GB2312" w:cs="仿宋_GB2312" w:eastAsia="仿宋_GB2312"/>
                      <w:sz w:val="15"/>
                      <w:color w:val="000000"/>
                    </w:rPr>
                    <w:t>9）</w:t>
                  </w:r>
                  <w:r>
                    <w:rPr>
                      <w:rFonts w:ascii="仿宋_GB2312" w:hAnsi="仿宋_GB2312" w:cs="仿宋_GB2312" w:eastAsia="仿宋_GB2312"/>
                      <w:sz w:val="15"/>
                      <w:color w:val="000000"/>
                    </w:rPr>
                    <w:t>★草高50mm±5%mm</w:t>
                  </w:r>
                  <w:r>
                    <w:rPr>
                      <w:rFonts w:ascii="仿宋_GB2312" w:hAnsi="仿宋_GB2312" w:cs="仿宋_GB2312" w:eastAsia="仿宋_GB2312"/>
                      <w:sz w:val="15"/>
                      <w:color w:val="000000"/>
                    </w:rPr>
                    <w:t>。</w:t>
                  </w:r>
                </w:p>
                <w:p>
                  <w:pPr>
                    <w:pStyle w:val="null3"/>
                    <w:jc w:val="left"/>
                  </w:pPr>
                  <w:r>
                    <w:rPr>
                      <w:rFonts w:ascii="仿宋_GB2312" w:hAnsi="仿宋_GB2312" w:cs="仿宋_GB2312" w:eastAsia="仿宋_GB2312"/>
                      <w:sz w:val="15"/>
                      <w:color w:val="000000"/>
                    </w:rPr>
                    <w:t>10）</w:t>
                  </w:r>
                  <w:r>
                    <w:rPr>
                      <w:rFonts w:ascii="仿宋_GB2312" w:hAnsi="仿宋_GB2312" w:cs="仿宋_GB2312" w:eastAsia="仿宋_GB2312"/>
                      <w:sz w:val="15"/>
                      <w:color w:val="000000"/>
                    </w:rPr>
                    <w:t>★渗水率</w:t>
                  </w:r>
                  <w:r>
                    <w:rPr>
                      <w:rFonts w:ascii="仿宋_GB2312" w:hAnsi="仿宋_GB2312" w:cs="仿宋_GB2312" w:eastAsia="仿宋_GB2312"/>
                      <w:sz w:val="15"/>
                      <w:color w:val="000000"/>
                    </w:rPr>
                    <w:t>：透水率:≧30升/分钟/㎡2(无填充物)</w:t>
                  </w:r>
                </w:p>
                <w:p>
                  <w:pPr>
                    <w:pStyle w:val="null3"/>
                    <w:jc w:val="left"/>
                  </w:pPr>
                  <w:r>
                    <w:rPr>
                      <w:rFonts w:ascii="仿宋_GB2312" w:hAnsi="仿宋_GB2312" w:cs="仿宋_GB2312" w:eastAsia="仿宋_GB2312"/>
                      <w:sz w:val="15"/>
                      <w:color w:val="000000"/>
                    </w:rPr>
                    <w:t>11）</w:t>
                  </w:r>
                  <w:r>
                    <w:rPr>
                      <w:rFonts w:ascii="仿宋_GB2312" w:hAnsi="仿宋_GB2312" w:cs="仿宋_GB2312" w:eastAsia="仿宋_GB2312"/>
                      <w:sz w:val="15"/>
                      <w:color w:val="000000"/>
                    </w:rPr>
                    <w:t>★底布：双层组合高束缚力底部</w:t>
                  </w:r>
                </w:p>
                <w:p>
                  <w:pPr>
                    <w:pStyle w:val="null3"/>
                    <w:jc w:val="left"/>
                  </w:pPr>
                  <w:r>
                    <w:rPr>
                      <w:rFonts w:ascii="仿宋_GB2312" w:hAnsi="仿宋_GB2312" w:cs="仿宋_GB2312" w:eastAsia="仿宋_GB2312"/>
                      <w:sz w:val="15"/>
                      <w:color w:val="000000"/>
                    </w:rPr>
                    <w:t>12）</w:t>
                  </w:r>
                  <w:r>
                    <w:rPr>
                      <w:rFonts w:ascii="仿宋_GB2312" w:hAnsi="仿宋_GB2312" w:cs="仿宋_GB2312" w:eastAsia="仿宋_GB2312"/>
                      <w:sz w:val="15"/>
                      <w:color w:val="000000"/>
                    </w:rPr>
                    <w:t>★背胶：丁苯乳胶</w:t>
                  </w:r>
                </w:p>
                <w:p>
                  <w:pPr>
                    <w:pStyle w:val="null3"/>
                    <w:jc w:val="left"/>
                  </w:pPr>
                  <w:r>
                    <w:rPr>
                      <w:rFonts w:ascii="仿宋_GB2312" w:hAnsi="仿宋_GB2312" w:cs="仿宋_GB2312" w:eastAsia="仿宋_GB2312"/>
                      <w:sz w:val="15"/>
                      <w:color w:val="000000"/>
                    </w:rPr>
                    <w:t>13）</w:t>
                  </w:r>
                  <w:r>
                    <w:rPr>
                      <w:rFonts w:ascii="仿宋_GB2312" w:hAnsi="仿宋_GB2312" w:cs="仿宋_GB2312" w:eastAsia="仿宋_GB2312"/>
                      <w:sz w:val="15"/>
                      <w:color w:val="000000"/>
                    </w:rPr>
                    <w:t>有效幅度：4.0米</w:t>
                  </w:r>
                </w:p>
                <w:p>
                  <w:pPr>
                    <w:pStyle w:val="null3"/>
                    <w:jc w:val="left"/>
                  </w:pPr>
                  <w:r>
                    <w:rPr>
                      <w:rFonts w:ascii="仿宋_GB2312" w:hAnsi="仿宋_GB2312" w:cs="仿宋_GB2312" w:eastAsia="仿宋_GB2312"/>
                      <w:sz w:val="15"/>
                      <w:color w:val="000000"/>
                    </w:rPr>
                    <w:t>14）</w:t>
                  </w:r>
                  <w:r>
                    <w:rPr>
                      <w:rFonts w:ascii="仿宋_GB2312" w:hAnsi="仿宋_GB2312" w:cs="仿宋_GB2312" w:eastAsia="仿宋_GB2312"/>
                      <w:sz w:val="15"/>
                      <w:color w:val="000000"/>
                    </w:rPr>
                    <w:t>标线颜色：白色</w:t>
                  </w:r>
                </w:p>
                <w:p>
                  <w:pPr>
                    <w:pStyle w:val="null3"/>
                    <w:jc w:val="left"/>
                  </w:pPr>
                  <w:r>
                    <w:rPr>
                      <w:rFonts w:ascii="仿宋_GB2312" w:hAnsi="仿宋_GB2312" w:cs="仿宋_GB2312" w:eastAsia="仿宋_GB2312"/>
                      <w:sz w:val="15"/>
                      <w:color w:val="000000"/>
                    </w:rPr>
                    <w:t>15）</w:t>
                  </w:r>
                  <w:r>
                    <w:rPr>
                      <w:rFonts w:ascii="仿宋_GB2312" w:hAnsi="仿宋_GB2312" w:cs="仿宋_GB2312" w:eastAsia="仿宋_GB2312"/>
                      <w:sz w:val="15"/>
                      <w:color w:val="000000"/>
                    </w:rPr>
                    <w:t>接缝带：抗撕裂耐紫外线专业接缝带</w:t>
                  </w:r>
                </w:p>
                <w:p>
                  <w:pPr>
                    <w:pStyle w:val="null3"/>
                    <w:jc w:val="left"/>
                  </w:pPr>
                  <w:r>
                    <w:rPr>
                      <w:rFonts w:ascii="仿宋_GB2312" w:hAnsi="仿宋_GB2312" w:cs="仿宋_GB2312" w:eastAsia="仿宋_GB2312"/>
                      <w:sz w:val="15"/>
                      <w:color w:val="000000"/>
                    </w:rPr>
                    <w:t>16）</w:t>
                  </w:r>
                  <w:r>
                    <w:rPr>
                      <w:rFonts w:ascii="仿宋_GB2312" w:hAnsi="仿宋_GB2312" w:cs="仿宋_GB2312" w:eastAsia="仿宋_GB2312"/>
                      <w:sz w:val="15"/>
                      <w:color w:val="000000"/>
                    </w:rPr>
                    <w:t>施工粘接材料：环保人造草专用胶黏剂</w:t>
                  </w:r>
                </w:p>
                <w:p>
                  <w:pPr>
                    <w:pStyle w:val="null3"/>
                    <w:jc w:val="left"/>
                  </w:pPr>
                  <w:r>
                    <w:rPr>
                      <w:rFonts w:ascii="仿宋_GB2312" w:hAnsi="仿宋_GB2312" w:cs="仿宋_GB2312" w:eastAsia="仿宋_GB2312"/>
                      <w:sz w:val="15"/>
                      <w:color w:val="000000"/>
                    </w:rPr>
                    <w:t>17）</w:t>
                  </w:r>
                  <w:r>
                    <w:rPr>
                      <w:rFonts w:ascii="仿宋_GB2312" w:hAnsi="仿宋_GB2312" w:cs="仿宋_GB2312" w:eastAsia="仿宋_GB2312"/>
                      <w:sz w:val="15"/>
                      <w:color w:val="000000"/>
                    </w:rPr>
                    <w:t>★密度不小于10500针/平方米。</w:t>
                  </w:r>
                </w:p>
                <w:p>
                  <w:pPr>
                    <w:pStyle w:val="null3"/>
                    <w:jc w:val="left"/>
                  </w:pPr>
                  <w:r>
                    <w:rPr>
                      <w:rFonts w:ascii="仿宋_GB2312" w:hAnsi="仿宋_GB2312" w:cs="仿宋_GB2312" w:eastAsia="仿宋_GB2312"/>
                      <w:sz w:val="15"/>
                      <w:color w:val="000000"/>
                    </w:rPr>
                    <w:t>18）</w:t>
                  </w:r>
                  <w:r>
                    <w:rPr>
                      <w:rFonts w:ascii="仿宋_GB2312" w:hAnsi="仿宋_GB2312" w:cs="仿宋_GB2312" w:eastAsia="仿宋_GB2312"/>
                      <w:sz w:val="15"/>
                      <w:color w:val="000000"/>
                    </w:rPr>
                    <w:t>透水性、抗紫外线性能、色牢度、阻燃性等需满足GB/T20394-2013标准。</w:t>
                  </w:r>
                </w:p>
                <w:p>
                  <w:pPr>
                    <w:pStyle w:val="null3"/>
                    <w:jc w:val="left"/>
                  </w:pPr>
                  <w:r>
                    <w:rPr>
                      <w:rFonts w:ascii="仿宋_GB2312" w:hAnsi="仿宋_GB2312" w:cs="仿宋_GB2312" w:eastAsia="仿宋_GB2312"/>
                      <w:sz w:val="15"/>
                      <w:color w:val="000000"/>
                    </w:rPr>
                    <w:t>19）</w:t>
                  </w:r>
                  <w:r>
                    <w:rPr>
                      <w:rFonts w:ascii="仿宋_GB2312" w:hAnsi="仿宋_GB2312" w:cs="仿宋_GB2312" w:eastAsia="仿宋_GB2312"/>
                      <w:sz w:val="15"/>
                      <w:color w:val="000000"/>
                    </w:rPr>
                    <w:t>人造草坪面层内需填充石英砂(20-40目，每平方不少于40KG)、环保橡胶颗粒(粒径3mm-4mm，每平方不少于8KG)。</w:t>
                  </w:r>
                </w:p>
                <w:p>
                  <w:pPr>
                    <w:pStyle w:val="null3"/>
                    <w:jc w:val="left"/>
                  </w:pPr>
                  <w:r>
                    <w:rPr>
                      <w:rFonts w:ascii="仿宋_GB2312" w:hAnsi="仿宋_GB2312" w:cs="仿宋_GB2312" w:eastAsia="仿宋_GB2312"/>
                      <w:sz w:val="15"/>
                      <w:color w:val="000000"/>
                    </w:rPr>
                    <w:t>20）★人造草坪在自然光老化≥300天后依据GB/T20394-2019标准，单簇草丝拔出力≥60N，单簇草丝拔出力保留率≥9%。提供第三方检测机构出具的带有CMA标志的检测报告。</w:t>
                  </w:r>
                </w:p>
                <w:p>
                  <w:pPr>
                    <w:pStyle w:val="null3"/>
                  </w:pPr>
                  <w:r>
                    <w:rPr>
                      <w:rFonts w:ascii="仿宋_GB2312" w:hAnsi="仿宋_GB2312" w:cs="仿宋_GB2312" w:eastAsia="仿宋_GB2312"/>
                      <w:sz w:val="15"/>
                      <w:color w:val="000000"/>
                    </w:rPr>
                    <w:t>21）★人造草坪在自然光老化≥300天后冲击吸收、垂直变形符合GB/T20033.3-2006标准。</w:t>
                  </w:r>
                </w:p>
                <w:p>
                  <w:pPr>
                    <w:pStyle w:val="null3"/>
                  </w:pPr>
                  <w:r>
                    <w:rPr>
                      <w:rFonts w:ascii="仿宋_GB2312" w:hAnsi="仿宋_GB2312" w:cs="仿宋_GB2312" w:eastAsia="仿宋_GB2312"/>
                      <w:sz w:val="15"/>
                      <w:color w:val="000000"/>
                    </w:rPr>
                    <w:t>提供第三方检测机构出具的带有CMA标志的检测报告。</w:t>
                  </w:r>
                </w:p>
                <w:p>
                  <w:pPr>
                    <w:pStyle w:val="null3"/>
                  </w:pPr>
                  <w:r>
                    <w:rPr>
                      <w:rFonts w:ascii="仿宋_GB2312" w:hAnsi="仿宋_GB2312" w:cs="仿宋_GB2312" w:eastAsia="仿宋_GB2312"/>
                      <w:sz w:val="15"/>
                      <w:color w:val="000000"/>
                    </w:rPr>
                    <w:t>22）★人造草坪在自然光老化≥300天后滑动阻力符合GB/T20033.3-2006标准。提供第三方检测机构出具的带有CMA标志的检测报告。</w:t>
                  </w:r>
                </w:p>
                <w:p>
                  <w:pPr>
                    <w:pStyle w:val="null3"/>
                  </w:pPr>
                  <w:r>
                    <w:rPr>
                      <w:rFonts w:ascii="仿宋_GB2312" w:hAnsi="仿宋_GB2312" w:cs="仿宋_GB2312" w:eastAsia="仿宋_GB2312"/>
                      <w:sz w:val="15"/>
                      <w:color w:val="000000"/>
                    </w:rPr>
                    <w:t>23）★人造草坪在自然光老化≥300天后依据GB36246-2018标准草丝拉断力≥18N，草丝拉断力保留率≥90%。提供第三方检测机构出具的带有CMA标志的检测报告。</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504</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3</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天  网</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天  网为绿色尼龙网，聚乙烯材质，股数30股。</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504</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4</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太阳能灯光</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采用太阳能灯光，灯杆应设置在边线、端线1.5米以外</w:t>
                  </w:r>
                  <w:r>
                    <w:rPr>
                      <w:rFonts w:ascii="仿宋_GB2312" w:hAnsi="仿宋_GB2312" w:cs="仿宋_GB2312" w:eastAsia="仿宋_GB2312"/>
                      <w:sz w:val="15"/>
                      <w:color w:val="000000"/>
                    </w:rPr>
                    <w:t>，</w:t>
                  </w:r>
                  <w:r>
                    <w:rPr>
                      <w:rFonts w:ascii="仿宋_GB2312" w:hAnsi="仿宋_GB2312" w:cs="仿宋_GB2312" w:eastAsia="仿宋_GB2312"/>
                      <w:sz w:val="15"/>
                      <w:color w:val="000000"/>
                    </w:rPr>
                    <w:t>或利用球场边围网立柱架设灯具6组</w:t>
                  </w:r>
                  <w:r>
                    <w:rPr>
                      <w:rFonts w:ascii="仿宋_GB2312" w:hAnsi="仿宋_GB2312" w:cs="仿宋_GB2312" w:eastAsia="仿宋_GB2312"/>
                      <w:sz w:val="15"/>
                      <w:color w:val="000000"/>
                    </w:rPr>
                    <w:t>；</w:t>
                  </w:r>
                  <w:r>
                    <w:rPr>
                      <w:rFonts w:ascii="仿宋_GB2312" w:hAnsi="仿宋_GB2312" w:cs="仿宋_GB2312" w:eastAsia="仿宋_GB2312"/>
                      <w:sz w:val="15"/>
                      <w:color w:val="000000"/>
                    </w:rPr>
                    <w:t>灯杆高度不低于6米，场地照度不低于150勒克斯。</w:t>
                  </w:r>
                </w:p>
                <w:p>
                  <w:pPr>
                    <w:pStyle w:val="null3"/>
                    <w:jc w:val="left"/>
                  </w:pPr>
                  <w:r>
                    <w:rPr>
                      <w:rFonts w:ascii="仿宋_GB2312" w:hAnsi="仿宋_GB2312" w:cs="仿宋_GB2312" w:eastAsia="仿宋_GB2312"/>
                      <w:sz w:val="15"/>
                      <w:color w:val="000000"/>
                    </w:rPr>
                    <w:t>材质：镀锌钢结构型材，表面经超候聚酯粉末喷涂，颜色十年不裉色;</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组</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6</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5</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球门（含球网）</w:t>
                  </w:r>
                </w:p>
              </w:tc>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采用5人制足球比赛专用、可移动矩形足球门(3号足球门)，球门内口规格按宽</w:t>
                  </w:r>
                  <w:r>
                    <w:rPr>
                      <w:rFonts w:ascii="仿宋_GB2312" w:hAnsi="仿宋_GB2312" w:cs="仿宋_GB2312" w:eastAsia="仿宋_GB2312"/>
                      <w:sz w:val="15"/>
                      <w:color w:val="000000"/>
                    </w:rPr>
                    <w:t>×</w:t>
                  </w:r>
                  <w:r>
                    <w:rPr>
                      <w:rFonts w:ascii="仿宋_GB2312" w:hAnsi="仿宋_GB2312" w:cs="仿宋_GB2312" w:eastAsia="仿宋_GB2312"/>
                      <w:sz w:val="15"/>
                      <w:color w:val="000000"/>
                    </w:rPr>
                    <w:t>高</w:t>
                  </w:r>
                  <w:r>
                    <w:rPr>
                      <w:rFonts w:ascii="仿宋_GB2312" w:hAnsi="仿宋_GB2312" w:cs="仿宋_GB2312" w:eastAsia="仿宋_GB2312"/>
                      <w:sz w:val="15"/>
                      <w:color w:val="000000"/>
                    </w:rPr>
                    <w:t>×</w:t>
                  </w:r>
                  <w:r>
                    <w:rPr>
                      <w:rFonts w:ascii="仿宋_GB2312" w:hAnsi="仿宋_GB2312" w:cs="仿宋_GB2312" w:eastAsia="仿宋_GB2312"/>
                      <w:sz w:val="15"/>
                      <w:color w:val="000000"/>
                    </w:rPr>
                    <w:t>底深表示为</w:t>
                  </w:r>
                  <w:r>
                    <w:rPr>
                      <w:rFonts w:ascii="仿宋_GB2312" w:hAnsi="仿宋_GB2312" w:cs="仿宋_GB2312" w:eastAsia="仿宋_GB2312"/>
                      <w:sz w:val="15"/>
                      <w:color w:val="000000"/>
                    </w:rPr>
                    <w:t>：</w:t>
                  </w:r>
                  <w:r>
                    <w:rPr>
                      <w:rFonts w:ascii="仿宋_GB2312" w:hAnsi="仿宋_GB2312" w:cs="仿宋_GB2312" w:eastAsia="仿宋_GB2312"/>
                      <w:sz w:val="15"/>
                      <w:color w:val="000000"/>
                    </w:rPr>
                    <w:t>3000mm</w:t>
                  </w:r>
                  <w:r>
                    <w:rPr>
                      <w:rFonts w:ascii="仿宋_GB2312" w:hAnsi="仿宋_GB2312" w:cs="仿宋_GB2312" w:eastAsia="仿宋_GB2312"/>
                      <w:sz w:val="15"/>
                      <w:color w:val="000000"/>
                    </w:rPr>
                    <w:t>×</w:t>
                  </w:r>
                  <w:r>
                    <w:rPr>
                      <w:rFonts w:ascii="仿宋_GB2312" w:hAnsi="仿宋_GB2312" w:cs="仿宋_GB2312" w:eastAsia="仿宋_GB2312"/>
                      <w:sz w:val="15"/>
                      <w:color w:val="000000"/>
                    </w:rPr>
                    <w:t>2000mm</w:t>
                  </w:r>
                  <w:r>
                    <w:rPr>
                      <w:rFonts w:ascii="仿宋_GB2312" w:hAnsi="仿宋_GB2312" w:cs="仿宋_GB2312" w:eastAsia="仿宋_GB2312"/>
                      <w:sz w:val="15"/>
                      <w:color w:val="000000"/>
                    </w:rPr>
                    <w:t>×</w:t>
                  </w:r>
                  <w:r>
                    <w:rPr>
                      <w:rFonts w:ascii="仿宋_GB2312" w:hAnsi="仿宋_GB2312" w:cs="仿宋_GB2312" w:eastAsia="仿宋_GB2312"/>
                      <w:sz w:val="15"/>
                      <w:color w:val="000000"/>
                    </w:rPr>
                    <w:t>1500mm</w:t>
                  </w:r>
                  <w:r>
                    <w:rPr>
                      <w:rFonts w:ascii="仿宋_GB2312" w:hAnsi="仿宋_GB2312" w:cs="仿宋_GB2312" w:eastAsia="仿宋_GB2312"/>
                      <w:sz w:val="15"/>
                      <w:color w:val="000000"/>
                    </w:rPr>
                    <w:t>；</w:t>
                  </w:r>
                  <w:r>
                    <w:rPr>
                      <w:rFonts w:ascii="仿宋_GB2312" w:hAnsi="仿宋_GB2312" w:cs="仿宋_GB2312" w:eastAsia="仿宋_GB2312"/>
                      <w:sz w:val="15"/>
                      <w:color w:val="000000"/>
                    </w:rPr>
                    <w:t>球门立杆和横梁采用直径不小于76mm</w:t>
                  </w:r>
                  <w:r>
                    <w:rPr>
                      <w:rFonts w:ascii="仿宋_GB2312" w:hAnsi="仿宋_GB2312" w:cs="仿宋_GB2312" w:eastAsia="仿宋_GB2312"/>
                      <w:sz w:val="15"/>
                      <w:color w:val="000000"/>
                    </w:rPr>
                    <w:t>×</w:t>
                  </w:r>
                  <w:r>
                    <w:rPr>
                      <w:rFonts w:ascii="仿宋_GB2312" w:hAnsi="仿宋_GB2312" w:cs="仿宋_GB2312" w:eastAsia="仿宋_GB2312"/>
                      <w:sz w:val="15"/>
                      <w:color w:val="000000"/>
                    </w:rPr>
                    <w:t>3mm或等强度管材，球门横梁能承受2700N的静负荷</w:t>
                  </w:r>
                  <w:r>
                    <w:rPr>
                      <w:rFonts w:ascii="仿宋_GB2312" w:hAnsi="仿宋_GB2312" w:cs="仿宋_GB2312" w:eastAsia="仿宋_GB2312"/>
                      <w:sz w:val="15"/>
                      <w:color w:val="000000"/>
                    </w:rPr>
                    <w:t>；</w:t>
                  </w:r>
                  <w:r>
                    <w:rPr>
                      <w:rFonts w:ascii="仿宋_GB2312" w:hAnsi="仿宋_GB2312" w:cs="仿宋_GB2312" w:eastAsia="仿宋_GB2312"/>
                      <w:sz w:val="15"/>
                      <w:color w:val="000000"/>
                    </w:rPr>
                    <w:t>球门组装完成后，立杆与地面、横梁夹角均为90度，连接件周边处理圆滑，无棱角，表面静电喷涂</w:t>
                  </w:r>
                  <w:r>
                    <w:rPr>
                      <w:rFonts w:ascii="仿宋_GB2312" w:hAnsi="仿宋_GB2312" w:cs="仿宋_GB2312" w:eastAsia="仿宋_GB2312"/>
                      <w:sz w:val="15"/>
                      <w:color w:val="000000"/>
                    </w:rPr>
                    <w:t>；</w:t>
                  </w:r>
                  <w:r>
                    <w:rPr>
                      <w:rFonts w:ascii="仿宋_GB2312" w:hAnsi="仿宋_GB2312" w:cs="仿宋_GB2312" w:eastAsia="仿宋_GB2312"/>
                      <w:sz w:val="15"/>
                      <w:color w:val="000000"/>
                    </w:rPr>
                    <w:t>配置球网1套。</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个</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2</w:t>
                  </w:r>
                </w:p>
              </w:tc>
            </w:tr>
          </w:tbl>
          <w:p>
            <w:pPr>
              <w:pStyle w:val="null3"/>
            </w:pPr>
            <w:r>
              <w:rPr>
                <w:rFonts w:ascii="仿宋_GB2312" w:hAnsi="仿宋_GB2312" w:cs="仿宋_GB2312" w:eastAsia="仿宋_GB2312"/>
                <w:sz w:val="15"/>
              </w:rPr>
              <w:t>2.笼式篮球场</w:t>
            </w:r>
          </w:p>
          <w:tbl>
            <w:tblPr>
              <w:tblBorders>
                <w:top w:val="none" w:color="000000" w:sz="4"/>
                <w:left w:val="none" w:color="000000" w:sz="4"/>
                <w:bottom w:val="none" w:color="000000" w:sz="4"/>
                <w:right w:val="none" w:color="000000" w:sz="4"/>
                <w:insideH w:val="none"/>
                <w:insideV w:val="none"/>
              </w:tblBorders>
            </w:tblPr>
            <w:tblGrid>
              <w:gridCol w:w="134"/>
              <w:gridCol w:w="242"/>
              <w:gridCol w:w="1867"/>
              <w:gridCol w:w="135"/>
              <w:gridCol w:w="175"/>
            </w:tblGrid>
            <w:tr>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rPr>
                    <w:t>序号</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rPr>
                    <w:t>器材名称</w:t>
                  </w:r>
                </w:p>
              </w:tc>
              <w:tc>
                <w:tcPr>
                  <w:tcW w:type="dxa" w:w="18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rPr>
                    <w:t>规格参数</w:t>
                  </w:r>
                </w:p>
              </w:tc>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rPr>
                    <w:t>单位</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rPr>
                    <w:t>数量</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围网</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颜色为绿色，设置在边线、端线1.5米以外，高度不小于4米，风载荷标准值不小于0.35KN/平米。围网表面PVC包塑，丝径04mm</w:t>
                  </w:r>
                  <w:r>
                    <w:rPr>
                      <w:rFonts w:ascii="仿宋_GB2312" w:hAnsi="仿宋_GB2312" w:cs="仿宋_GB2312" w:eastAsia="仿宋_GB2312"/>
                      <w:sz w:val="15"/>
                      <w:color w:val="000000"/>
                    </w:rPr>
                    <w:t>，</w:t>
                  </w:r>
                  <w:r>
                    <w:rPr>
                      <w:rFonts w:ascii="仿宋_GB2312" w:hAnsi="仿宋_GB2312" w:cs="仿宋_GB2312" w:eastAsia="仿宋_GB2312"/>
                      <w:sz w:val="15"/>
                      <w:color w:val="000000"/>
                    </w:rPr>
                    <w:t>网孔不大于50mm</w:t>
                  </w:r>
                  <w:r>
                    <w:rPr>
                      <w:rFonts w:ascii="仿宋_GB2312" w:hAnsi="仿宋_GB2312" w:cs="仿宋_GB2312" w:eastAsia="仿宋_GB2312"/>
                      <w:sz w:val="15"/>
                      <w:color w:val="000000"/>
                    </w:rPr>
                    <w:t>×</w:t>
                  </w:r>
                  <w:r>
                    <w:rPr>
                      <w:rFonts w:ascii="仿宋_GB2312" w:hAnsi="仿宋_GB2312" w:cs="仿宋_GB2312" w:eastAsia="仿宋_GB2312"/>
                      <w:sz w:val="15"/>
                      <w:color w:val="000000"/>
                    </w:rPr>
                    <w:t>50mm</w:t>
                  </w:r>
                  <w:r>
                    <w:rPr>
                      <w:rFonts w:ascii="仿宋_GB2312" w:hAnsi="仿宋_GB2312" w:cs="仿宋_GB2312" w:eastAsia="仿宋_GB2312"/>
                      <w:sz w:val="15"/>
                      <w:color w:val="000000"/>
                    </w:rPr>
                    <w:t>；</w:t>
                  </w:r>
                  <w:r>
                    <w:rPr>
                      <w:rFonts w:ascii="仿宋_GB2312" w:hAnsi="仿宋_GB2312" w:cs="仿宋_GB2312" w:eastAsia="仿宋_GB2312"/>
                      <w:sz w:val="15"/>
                      <w:color w:val="000000"/>
                    </w:rPr>
                    <w:t>主立柱采用直径不小于75mm</w:t>
                  </w:r>
                  <w:r>
                    <w:rPr>
                      <w:rFonts w:ascii="仿宋_GB2312" w:hAnsi="仿宋_GB2312" w:cs="仿宋_GB2312" w:eastAsia="仿宋_GB2312"/>
                      <w:sz w:val="15"/>
                      <w:color w:val="000000"/>
                    </w:rPr>
                    <w:t>×</w:t>
                  </w:r>
                  <w:r>
                    <w:rPr>
                      <w:rFonts w:ascii="仿宋_GB2312" w:hAnsi="仿宋_GB2312" w:cs="仿宋_GB2312" w:eastAsia="仿宋_GB2312"/>
                      <w:sz w:val="15"/>
                      <w:color w:val="000000"/>
                    </w:rPr>
                    <w:t>3mm或等强度管材，间距不大于3米，立柱埋入地下的深度应不小于400mm</w:t>
                  </w:r>
                  <w:r>
                    <w:rPr>
                      <w:rFonts w:ascii="仿宋_GB2312" w:hAnsi="仿宋_GB2312" w:cs="仿宋_GB2312" w:eastAsia="仿宋_GB2312"/>
                      <w:sz w:val="15"/>
                      <w:color w:val="000000"/>
                    </w:rPr>
                    <w:t>（</w:t>
                  </w:r>
                  <w:r>
                    <w:rPr>
                      <w:rFonts w:ascii="仿宋_GB2312" w:hAnsi="仿宋_GB2312" w:cs="仿宋_GB2312" w:eastAsia="仿宋_GB2312"/>
                      <w:sz w:val="15"/>
                      <w:color w:val="000000"/>
                    </w:rPr>
                    <w:t>特殊地层具体分析</w:t>
                  </w:r>
                  <w:r>
                    <w:rPr>
                      <w:rFonts w:ascii="仿宋_GB2312" w:hAnsi="仿宋_GB2312" w:cs="仿宋_GB2312" w:eastAsia="仿宋_GB2312"/>
                      <w:sz w:val="15"/>
                      <w:color w:val="000000"/>
                    </w:rPr>
                    <w:t>）；</w:t>
                  </w:r>
                  <w:r>
                    <w:rPr>
                      <w:rFonts w:ascii="仿宋_GB2312" w:hAnsi="仿宋_GB2312" w:cs="仿宋_GB2312" w:eastAsia="仿宋_GB2312"/>
                      <w:sz w:val="15"/>
                      <w:color w:val="000000"/>
                    </w:rPr>
                    <w:t>设置网门2个，网门&gt;1.0米。在每个网门周边明显位置悬挂标识牌，尺寸为80cm</w:t>
                  </w:r>
                  <w:r>
                    <w:rPr>
                      <w:rFonts w:ascii="仿宋_GB2312" w:hAnsi="仿宋_GB2312" w:cs="仿宋_GB2312" w:eastAsia="仿宋_GB2312"/>
                      <w:sz w:val="15"/>
                      <w:color w:val="000000"/>
                    </w:rPr>
                    <w:t>×</w:t>
                  </w:r>
                  <w:r>
                    <w:rPr>
                      <w:rFonts w:ascii="仿宋_GB2312" w:hAnsi="仿宋_GB2312" w:cs="仿宋_GB2312" w:eastAsia="仿宋_GB2312"/>
                      <w:sz w:val="15"/>
                      <w:color w:val="000000"/>
                    </w:rPr>
                    <w:t>60cn，标牌内容另行确定</w:t>
                  </w:r>
                  <w:r>
                    <w:rPr>
                      <w:rFonts w:ascii="仿宋_GB2312" w:hAnsi="仿宋_GB2312" w:cs="仿宋_GB2312" w:eastAsia="仿宋_GB2312"/>
                      <w:sz w:val="15"/>
                      <w:color w:val="000000"/>
                    </w:rPr>
                    <w:t>；</w:t>
                  </w:r>
                  <w:r>
                    <w:rPr>
                      <w:rFonts w:ascii="仿宋_GB2312" w:hAnsi="仿宋_GB2312" w:cs="仿宋_GB2312" w:eastAsia="仿宋_GB2312"/>
                      <w:sz w:val="15"/>
                      <w:color w:val="000000"/>
                    </w:rPr>
                    <w:t>易接触的管材末端无锐角，螺钉、螺母等紧固件需做防锈、防松处理。</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416</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2</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悬浮地板（含划线）</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15"/>
                      <w:color w:val="000000"/>
                    </w:rPr>
                    <w:t>地板规格30.48厘米</w:t>
                  </w:r>
                  <w:r>
                    <w:rPr>
                      <w:rFonts w:ascii="仿宋_GB2312" w:hAnsi="仿宋_GB2312" w:cs="仿宋_GB2312" w:eastAsia="仿宋_GB2312"/>
                      <w:sz w:val="15"/>
                      <w:color w:val="000000"/>
                    </w:rPr>
                    <w:t>×</w:t>
                  </w:r>
                  <w:r>
                    <w:rPr>
                      <w:rFonts w:ascii="仿宋_GB2312" w:hAnsi="仿宋_GB2312" w:cs="仿宋_GB2312" w:eastAsia="仿宋_GB2312"/>
                      <w:sz w:val="15"/>
                      <w:color w:val="000000"/>
                    </w:rPr>
                    <w:t>30.48厘米，厚度不低于15.6mm。单片重量不低于310克；</w:t>
                  </w:r>
                </w:p>
                <w:p>
                  <w:pPr>
                    <w:pStyle w:val="null3"/>
                    <w:numPr>
                      <w:ilvl w:val="0"/>
                      <w:numId w:val="1"/>
                    </w:numPr>
                    <w:jc w:val="both"/>
                  </w:pPr>
                  <w:r>
                    <w:rPr>
                      <w:rFonts w:ascii="仿宋_GB2312" w:hAnsi="仿宋_GB2312" w:cs="仿宋_GB2312" w:eastAsia="仿宋_GB2312"/>
                      <w:sz w:val="15"/>
                      <w:color w:val="000000"/>
                    </w:rPr>
                    <w:t>采用悬浮式拼装底板，环保高强度聚丙烯聚合物，无毒、无味、绿色环保，具有良好的抗氧化、抗紫外线、防水防潮性能且平稳、防滑、弹性好；单点注塑、一次成型，软性材质，抗变形能力好；正面为米字形镂空结构，特殊纹路处理。背面为悬浮式模块结构，每块由支撑点形成稳固的垂直方向弹性支撑；采用锁扣方式收边。</w:t>
                  </w:r>
                </w:p>
                <w:p>
                  <w:pPr>
                    <w:pStyle w:val="null3"/>
                  </w:pPr>
                  <w:r>
                    <w:rPr>
                      <w:rFonts w:ascii="仿宋_GB2312" w:hAnsi="仿宋_GB2312" w:cs="仿宋_GB2312" w:eastAsia="仿宋_GB2312"/>
                      <w:sz w:val="15"/>
                      <w:color w:val="000000"/>
                    </w:rPr>
                    <w:t>3）</w:t>
                  </w:r>
                  <w:r>
                    <w:rPr>
                      <w:rFonts w:ascii="仿宋_GB2312" w:hAnsi="仿宋_GB2312" w:cs="仿宋_GB2312" w:eastAsia="仿宋_GB2312"/>
                      <w:sz w:val="15"/>
                      <w:color w:val="000000"/>
                    </w:rPr>
                    <w:t>外观：无裂痕、无分层，表面各区域色泽均匀</w:t>
                  </w:r>
                </w:p>
                <w:p>
                  <w:pPr>
                    <w:pStyle w:val="null3"/>
                  </w:pPr>
                  <w:r>
                    <w:rPr>
                      <w:rFonts w:ascii="仿宋_GB2312" w:hAnsi="仿宋_GB2312" w:cs="仿宋_GB2312" w:eastAsia="仿宋_GB2312"/>
                      <w:sz w:val="15"/>
                      <w:color w:val="000000"/>
                    </w:rPr>
                    <w:t>4）抗滑值（干测）≥80</w:t>
                  </w:r>
                </w:p>
                <w:p>
                  <w:pPr>
                    <w:pStyle w:val="null3"/>
                  </w:pPr>
                  <w:r>
                    <w:rPr>
                      <w:rFonts w:ascii="仿宋_GB2312" w:hAnsi="仿宋_GB2312" w:cs="仿宋_GB2312" w:eastAsia="仿宋_GB2312"/>
                      <w:sz w:val="15"/>
                      <w:color w:val="000000"/>
                    </w:rPr>
                    <w:t>5）高温试验：（70℃，72h），试验后不应有气泡、麻点、明显的变色、变形等现象</w:t>
                  </w:r>
                </w:p>
                <w:p>
                  <w:pPr>
                    <w:pStyle w:val="null3"/>
                    <w:jc w:val="both"/>
                  </w:pPr>
                  <w:r>
                    <w:rPr>
                      <w:rFonts w:ascii="仿宋_GB2312" w:hAnsi="仿宋_GB2312" w:cs="仿宋_GB2312" w:eastAsia="仿宋_GB2312"/>
                      <w:sz w:val="15"/>
                      <w:color w:val="000000"/>
                    </w:rPr>
                    <w:t>6）总挥发性有机物TVOC24小时释放量≤0.3mg/m³</w:t>
                  </w:r>
                </w:p>
                <w:p>
                  <w:pPr>
                    <w:pStyle w:val="null3"/>
                    <w:jc w:val="both"/>
                  </w:pPr>
                  <w:r>
                    <w:rPr>
                      <w:rFonts w:ascii="仿宋_GB2312" w:hAnsi="仿宋_GB2312" w:cs="仿宋_GB2312" w:eastAsia="仿宋_GB2312"/>
                      <w:sz w:val="15"/>
                      <w:color w:val="000000"/>
                    </w:rPr>
                    <w:t>7）甲醛24小时释放量≤0.04mg/m³</w:t>
                  </w:r>
                </w:p>
                <w:p>
                  <w:pPr>
                    <w:pStyle w:val="null3"/>
                    <w:jc w:val="both"/>
                  </w:pPr>
                  <w:r>
                    <w:rPr>
                      <w:rFonts w:ascii="仿宋_GB2312" w:hAnsi="仿宋_GB2312" w:cs="仿宋_GB2312" w:eastAsia="仿宋_GB2312"/>
                      <w:sz w:val="15"/>
                      <w:color w:val="000000"/>
                    </w:rPr>
                    <w:t>8）低温试验：（-40℃，72h），试验后无龟裂、无破损、无变形等现象。</w:t>
                  </w:r>
                </w:p>
                <w:p>
                  <w:pPr>
                    <w:pStyle w:val="null3"/>
                    <w:jc w:val="both"/>
                  </w:pPr>
                  <w:r>
                    <w:rPr>
                      <w:rFonts w:ascii="仿宋_GB2312" w:hAnsi="仿宋_GB2312" w:cs="仿宋_GB2312" w:eastAsia="仿宋_GB2312"/>
                      <w:sz w:val="15"/>
                      <w:color w:val="000000"/>
                    </w:rPr>
                    <w:t>重要指标：</w:t>
                  </w:r>
                </w:p>
                <w:p>
                  <w:pPr>
                    <w:pStyle w:val="null3"/>
                  </w:pPr>
                  <w:r>
                    <w:rPr>
                      <w:rFonts w:ascii="仿宋_GB2312" w:hAnsi="仿宋_GB2312" w:cs="仿宋_GB2312" w:eastAsia="仿宋_GB2312"/>
                      <w:sz w:val="15"/>
                      <w:color w:val="000000"/>
                    </w:rPr>
                    <w:t>9）★产品连续三个年度</w:t>
                  </w:r>
                  <w:r>
                    <w:rPr>
                      <w:rFonts w:ascii="仿宋_GB2312" w:hAnsi="仿宋_GB2312" w:cs="仿宋_GB2312" w:eastAsia="仿宋_GB2312"/>
                      <w:sz w:val="15"/>
                      <w:color w:val="000000"/>
                    </w:rPr>
                    <w:t>总体积收缩率≤0.14%。</w:t>
                  </w:r>
                </w:p>
                <w:p>
                  <w:pPr>
                    <w:pStyle w:val="null3"/>
                    <w:jc w:val="both"/>
                  </w:pPr>
                  <w:r>
                    <w:rPr>
                      <w:rFonts w:ascii="仿宋_GB2312" w:hAnsi="仿宋_GB2312" w:cs="仿宋_GB2312" w:eastAsia="仿宋_GB2312"/>
                      <w:sz w:val="15"/>
                      <w:color w:val="000000"/>
                    </w:rPr>
                    <w:t>10）★</w:t>
                  </w:r>
                  <w:r>
                    <w:rPr>
                      <w:rFonts w:ascii="仿宋_GB2312" w:hAnsi="仿宋_GB2312" w:cs="仿宋_GB2312" w:eastAsia="仿宋_GB2312"/>
                      <w:sz w:val="15"/>
                      <w:color w:val="000000"/>
                    </w:rPr>
                    <w:t>耐化学试剂（矿物油）不小于4000h后，灰卡评级≥5级。</w:t>
                  </w:r>
                </w:p>
                <w:p>
                  <w:pPr>
                    <w:pStyle w:val="null3"/>
                    <w:jc w:val="both"/>
                  </w:pPr>
                  <w:r>
                    <w:rPr>
                      <w:rFonts w:ascii="仿宋_GB2312" w:hAnsi="仿宋_GB2312" w:cs="仿宋_GB2312" w:eastAsia="仿宋_GB2312"/>
                      <w:sz w:val="15"/>
                      <w:color w:val="000000"/>
                    </w:rPr>
                    <w:t>11）★</w:t>
                  </w:r>
                  <w:r>
                    <w:rPr>
                      <w:rFonts w:ascii="仿宋_GB2312" w:hAnsi="仿宋_GB2312" w:cs="仿宋_GB2312" w:eastAsia="仿宋_GB2312"/>
                      <w:sz w:val="15"/>
                      <w:color w:val="000000"/>
                    </w:rPr>
                    <w:t>为验证产品弹性性能优劣，避免地板过硬或过软导致的运动效果不佳，供应商需提供依据国家标准GB/T 14833-2020和GB/T 22517.4-2017等检测的垂直变形现场检测报告。数值要求：铺装案例使用近一年，前后两次检测产品垂直变形均</w:t>
                  </w:r>
                  <w:r>
                    <w:rPr>
                      <w:rFonts w:ascii="仿宋_GB2312" w:hAnsi="仿宋_GB2312" w:cs="仿宋_GB2312" w:eastAsia="仿宋_GB2312"/>
                      <w:sz w:val="15"/>
                      <w:color w:val="000000"/>
                    </w:rPr>
                    <w:t>≤</w:t>
                  </w:r>
                  <w:r>
                    <w:rPr>
                      <w:rFonts w:ascii="仿宋_GB2312" w:hAnsi="仿宋_GB2312" w:cs="仿宋_GB2312" w:eastAsia="仿宋_GB2312"/>
                      <w:sz w:val="15"/>
                      <w:color w:val="000000"/>
                    </w:rPr>
                    <w:t>3mm，且变化率不超过10%。</w:t>
                  </w:r>
                </w:p>
                <w:p>
                  <w:pPr>
                    <w:pStyle w:val="null3"/>
                    <w:jc w:val="both"/>
                  </w:pPr>
                  <w:r>
                    <w:rPr>
                      <w:rFonts w:ascii="仿宋_GB2312" w:hAnsi="仿宋_GB2312" w:cs="仿宋_GB2312" w:eastAsia="仿宋_GB2312"/>
                      <w:sz w:val="15"/>
                      <w:color w:val="000000"/>
                    </w:rPr>
                    <w:t>12）★为保证产品的耐用性，产品应</w:t>
                  </w:r>
                  <w:r>
                    <w:rPr>
                      <w:rFonts w:ascii="仿宋_GB2312" w:hAnsi="仿宋_GB2312" w:cs="仿宋_GB2312" w:eastAsia="仿宋_GB2312"/>
                      <w:sz w:val="15"/>
                      <w:color w:val="000000"/>
                    </w:rPr>
                    <w:t>通过</w:t>
                  </w:r>
                  <w:r>
                    <w:rPr>
                      <w:rFonts w:ascii="仿宋_GB2312" w:hAnsi="仿宋_GB2312" w:cs="仿宋_GB2312" w:eastAsia="仿宋_GB2312"/>
                      <w:sz w:val="15"/>
                      <w:color w:val="000000"/>
                    </w:rPr>
                    <w:t>盐雾沉降量（ml/80cm2/h）1.0~2.0的条件下酸性盐雾实验不低于2000h后，样品表面无明显变化，无起泡、无开裂、无剥落，灰卡等级一直保持≥5级</w:t>
                  </w:r>
                  <w:r>
                    <w:rPr>
                      <w:rFonts w:ascii="仿宋_GB2312" w:hAnsi="仿宋_GB2312" w:cs="仿宋_GB2312" w:eastAsia="仿宋_GB2312"/>
                      <w:sz w:val="15"/>
                      <w:color w:val="000000"/>
                    </w:rPr>
                    <w:t>。</w:t>
                  </w:r>
                </w:p>
                <w:p>
                  <w:pPr>
                    <w:pStyle w:val="null3"/>
                    <w:jc w:val="both"/>
                  </w:pPr>
                  <w:r>
                    <w:rPr>
                      <w:rFonts w:ascii="仿宋_GB2312" w:hAnsi="仿宋_GB2312" w:cs="仿宋_GB2312" w:eastAsia="仿宋_GB2312"/>
                      <w:sz w:val="15"/>
                      <w:color w:val="000000"/>
                    </w:rPr>
                    <w:t>13）★为保证产品的耐用性，产品应通过冰雹实验（冰雹尺寸≥22mm），实验后，样品外观无开裂、变形等异常现象，无外观缺陷</w:t>
                  </w:r>
                  <w:r>
                    <w:rPr>
                      <w:rFonts w:ascii="仿宋_GB2312" w:hAnsi="仿宋_GB2312" w:cs="仿宋_GB2312" w:eastAsia="仿宋_GB2312"/>
                      <w:sz w:val="15"/>
                      <w:color w:val="000000"/>
                    </w:rPr>
                    <w:t>。</w:t>
                  </w:r>
                </w:p>
                <w:p>
                  <w:pPr>
                    <w:pStyle w:val="null3"/>
                    <w:jc w:val="both"/>
                  </w:pPr>
                  <w:r>
                    <w:rPr>
                      <w:rFonts w:ascii="仿宋_GB2312" w:hAnsi="仿宋_GB2312" w:cs="仿宋_GB2312" w:eastAsia="仿宋_GB2312"/>
                      <w:sz w:val="15"/>
                      <w:color w:val="000000"/>
                    </w:rPr>
                    <w:t>14）★</w:t>
                  </w:r>
                  <w:r>
                    <w:rPr>
                      <w:rFonts w:ascii="仿宋_GB2312" w:hAnsi="仿宋_GB2312" w:cs="仿宋_GB2312" w:eastAsia="仿宋_GB2312"/>
                      <w:sz w:val="15"/>
                      <w:color w:val="000000"/>
                    </w:rPr>
                    <w:t>为验证产品对冲击力的长效缓冲性能，有效降低冲击力对人体的损伤风险，供应商需提供依据国家标准GB/T 14833-2020和GB/T 22517.4-2017等检测的冲击吸收现场检测报告。数值要求：铺装案例使用近一年，前后两次检测产品冲击吸收数值均在20%-50%且变化率不超过10%。</w:t>
                  </w:r>
                </w:p>
                <w:p>
                  <w:pPr>
                    <w:pStyle w:val="null3"/>
                    <w:jc w:val="left"/>
                  </w:pPr>
                  <w:r>
                    <w:rPr>
                      <w:rFonts w:ascii="仿宋_GB2312" w:hAnsi="仿宋_GB2312" w:cs="仿宋_GB2312" w:eastAsia="仿宋_GB2312"/>
                      <w:sz w:val="15"/>
                      <w:color w:val="000000"/>
                    </w:rPr>
                    <w:t>15）★为验证产品动态防滑性能持久稳定，避免因地面过度光滑或摩擦失衡引发运动损伤及运动稳定性下降，供应商需提供项目依据国家标准GB/T 14833-2020和GB/T 22517.4-2017等检测的摩擦系数现场检测报告。数值要求：铺装案例使用近一年，前后两次检测产品摩擦系数均在0.4-0.7区间，且变化率不超过10%。</w:t>
                  </w:r>
                </w:p>
                <w:p>
                  <w:pPr>
                    <w:pStyle w:val="null3"/>
                    <w:jc w:val="left"/>
                  </w:pPr>
                  <w:r>
                    <w:rPr>
                      <w:rFonts w:ascii="仿宋_GB2312" w:hAnsi="仿宋_GB2312" w:cs="仿宋_GB2312" w:eastAsia="仿宋_GB2312"/>
                      <w:sz w:val="15"/>
                      <w:color w:val="000000"/>
                    </w:rPr>
                    <w:t>以上参数必须满足。标注★须提供具有CMA或CNAS标识的检测报告扫描件及其在全国认证认可信息公共服务平台查询截图，否则视为无效投标响应。</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627</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3</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太阳能灯光</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采用太阳能灯光，灯杆应设置在边线、端线1.5米以外，或利用球场边围网立柱架设灯具6组；灯杆高度不低于6米，场地照度不低于150勒克斯。</w:t>
                  </w:r>
                </w:p>
                <w:p>
                  <w:pPr>
                    <w:pStyle w:val="null3"/>
                    <w:jc w:val="left"/>
                  </w:pPr>
                  <w:r>
                    <w:rPr>
                      <w:rFonts w:ascii="仿宋_GB2312" w:hAnsi="仿宋_GB2312" w:cs="仿宋_GB2312" w:eastAsia="仿宋_GB2312"/>
                      <w:sz w:val="15"/>
                      <w:color w:val="000000"/>
                    </w:rPr>
                    <w:t>材质:镀锌钢结构型材，表面经超候聚酯粉末喷涂，颜色十年不裉色。</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组</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6</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4</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地埋篮球架</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篮板应符合GB19272-2011标准，尺寸为1800mm</w:t>
                  </w:r>
                  <w:r>
                    <w:rPr>
                      <w:rFonts w:ascii="仿宋_GB2312" w:hAnsi="仿宋_GB2312" w:cs="仿宋_GB2312" w:eastAsia="仿宋_GB2312"/>
                      <w:sz w:val="15"/>
                      <w:color w:val="000000"/>
                    </w:rPr>
                    <w:t>×</w:t>
                  </w:r>
                  <w:r>
                    <w:rPr>
                      <w:rFonts w:ascii="仿宋_GB2312" w:hAnsi="仿宋_GB2312" w:cs="仿宋_GB2312" w:eastAsia="仿宋_GB2312"/>
                      <w:sz w:val="15"/>
                      <w:color w:val="000000"/>
                    </w:rPr>
                    <w:t>1050mm的矩形篮板，材质为钢化玻璃；立柱、悬臂梁采用直径为Φ219mm、壁厚4mm的优质管材，一次冷弯成形；篮板支撑篮架上、下拉杆采用中48mm</w:t>
                  </w:r>
                  <w:r>
                    <w:rPr>
                      <w:rFonts w:ascii="仿宋_GB2312" w:hAnsi="仿宋_GB2312" w:cs="仿宋_GB2312" w:eastAsia="仿宋_GB2312"/>
                      <w:sz w:val="15"/>
                      <w:color w:val="000000"/>
                    </w:rPr>
                    <w:t>×</w:t>
                  </w:r>
                  <w:r>
                    <w:rPr>
                      <w:rFonts w:ascii="仿宋_GB2312" w:hAnsi="仿宋_GB2312" w:cs="仿宋_GB2312" w:eastAsia="仿宋_GB2312"/>
                      <w:sz w:val="15"/>
                      <w:color w:val="000000"/>
                    </w:rPr>
                    <w:t>2mm优质钢管，在弯管机上一次成型，通过调节上拉杆可调节篮板的平面度和垂直度；埋地方式为预埋式；篮球架结构尺寸应符合GB23176-2008标准，篮球架伸臂长&gt;1800mm，符合GB19272-2011标准稳定试验要求；篮板背部连接有不少于5点的连接安装位置，且安装位置尺寸符合GB19272-2011要求；篮圈采用实心钢材制成，篮圈圈条直径为20mm，篮圈内径为450~459mm；篮圈下沿有12个均匀分布篮网装置，装置无锐边、毛刺，且装置不大于8mm的间隙；篮圈选用弹性篮圈，在去除压力后可自动返回原位置。配置球网。</w:t>
                  </w:r>
                </w:p>
              </w:tc>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副</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bl>
          <w:p>
            <w:pPr>
              <w:pStyle w:val="null3"/>
            </w:pPr>
            <w:r>
              <w:rPr>
                <w:rFonts w:ascii="仿宋_GB2312" w:hAnsi="仿宋_GB2312" w:cs="仿宋_GB2312" w:eastAsia="仿宋_GB2312"/>
                <w:sz w:val="15"/>
              </w:rPr>
              <w:t>本标段核心产品：</w:t>
            </w:r>
            <w:r>
              <w:rPr>
                <w:rFonts w:ascii="仿宋_GB2312" w:hAnsi="仿宋_GB2312" w:cs="仿宋_GB2312" w:eastAsia="仿宋_GB2312"/>
                <w:sz w:val="15"/>
                <w:color w:val="000000"/>
              </w:rPr>
              <w:t>人造草（含划线）</w:t>
            </w:r>
            <w:r>
              <w:rPr>
                <w:rFonts w:ascii="仿宋_GB2312" w:hAnsi="仿宋_GB2312" w:cs="仿宋_GB2312" w:eastAsia="仿宋_GB2312"/>
                <w:sz w:val="15"/>
                <w:color w:val="000000"/>
              </w:rPr>
              <w:t>，</w:t>
            </w:r>
            <w:r>
              <w:rPr>
                <w:rFonts w:ascii="仿宋_GB2312" w:hAnsi="仿宋_GB2312" w:cs="仿宋_GB2312" w:eastAsia="仿宋_GB2312"/>
                <w:sz w:val="15"/>
                <w:color w:val="000000"/>
              </w:rPr>
              <w:t>悬浮地板（含划线）</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标的名称：群众健身房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3"/>
              <w:gridCol w:w="480"/>
              <w:gridCol w:w="1553"/>
              <w:gridCol w:w="173"/>
              <w:gridCol w:w="173"/>
            </w:tblGrid>
            <w:tr>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序号</w:t>
                  </w:r>
                </w:p>
              </w:tc>
              <w:tc>
                <w:tcPr>
                  <w:tcW w:type="dxa" w:w="4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器材名称</w:t>
                  </w:r>
                </w:p>
              </w:tc>
              <w:tc>
                <w:tcPr>
                  <w:tcW w:type="dxa" w:w="1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规格参数</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单位</w:t>
                  </w:r>
                </w:p>
              </w:tc>
              <w:tc>
                <w:tcPr>
                  <w:tcW w:type="dxa" w:w="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数量</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w:t>
                  </w:r>
                  <w:r>
                    <w:rPr>
                      <w:rFonts w:ascii="仿宋_GB2312" w:hAnsi="仿宋_GB2312" w:cs="仿宋_GB2312" w:eastAsia="仿宋_GB2312"/>
                      <w:sz w:val="15"/>
                      <w:color w:val="000000"/>
                    </w:rPr>
                    <w:t>电动跑步机</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尺寸≥1956×910×1520 mm，跑步区域尺寸≥500×1500mm；功率≥2.0HP 功率交流电机，超低 噪音、运行平稳；有显示屏；外观设计时尚美观，防滑性能好；有缓冲系统；最大承重需≥150kg。</w:t>
                  </w:r>
                </w:p>
                <w:p>
                  <w:pPr>
                    <w:pStyle w:val="null3"/>
                    <w:jc w:val="left"/>
                  </w:pPr>
                  <w:r>
                    <w:rPr>
                      <w:rFonts w:ascii="仿宋_GB2312" w:hAnsi="仿宋_GB2312" w:cs="仿宋_GB2312" w:eastAsia="仿宋_GB2312"/>
                      <w:sz w:val="15"/>
                      <w:color w:val="000000"/>
                    </w:rPr>
                    <w:t>产品符合GB17498-2008国标要求，并提供国家体育用品质量监督检验中心检验合格的检验报告。。</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件</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椭圆车</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尺寸≥1600mm×560mm×1100mm；转动轴承运转安静、流畅； 传动链条需为高强度链条，传动平稳；有多功能控制面板 （至少能够显示热量、时间、速度、转速、距离、心率）； 把手可上下、前后、左右调节；最大限重≥120kg。</w:t>
                  </w:r>
                </w:p>
                <w:p>
                  <w:pPr>
                    <w:pStyle w:val="null3"/>
                    <w:jc w:val="left"/>
                  </w:pPr>
                  <w:r>
                    <w:rPr>
                      <w:rFonts w:ascii="仿宋_GB2312" w:hAnsi="仿宋_GB2312" w:cs="仿宋_GB2312" w:eastAsia="仿宋_GB2312"/>
                      <w:sz w:val="15"/>
                      <w:color w:val="000000"/>
                    </w:rPr>
                    <w:t>★</w:t>
                  </w:r>
                  <w:r>
                    <w:rPr>
                      <w:rFonts w:ascii="仿宋_GB2312" w:hAnsi="仿宋_GB2312" w:cs="仿宋_GB2312" w:eastAsia="仿宋_GB2312"/>
                      <w:sz w:val="15"/>
                      <w:color w:val="000000"/>
                    </w:rPr>
                    <w:t>产品符合GB17498-2008国标要求，并提供国家体育用品质量监督检验中心检验合格的检验报告。</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件</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3</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划船器</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最大承重≥150kg，传动方式：链条传动，阻力系统：风阻，阻力等级：无级调节，显示窗口：5英寸LCD屏幕，传感器：霍尔传感器，显示信息：时间、配速/平均配速、桨频/平均桨频、距离、热量、功率/平均功率、心率/平均心率，尺寸≥2340×560×1050(mm)</w:t>
                  </w:r>
                </w:p>
                <w:p>
                  <w:pPr>
                    <w:pStyle w:val="null3"/>
                    <w:jc w:val="left"/>
                  </w:pPr>
                  <w:r>
                    <w:rPr>
                      <w:rFonts w:ascii="仿宋_GB2312" w:hAnsi="仿宋_GB2312" w:cs="仿宋_GB2312" w:eastAsia="仿宋_GB2312"/>
                      <w:sz w:val="15"/>
                      <w:color w:val="000000"/>
                    </w:rPr>
                    <w:t>★</w:t>
                  </w:r>
                  <w:r>
                    <w:rPr>
                      <w:rFonts w:ascii="仿宋_GB2312" w:hAnsi="仿宋_GB2312" w:cs="仿宋_GB2312" w:eastAsia="仿宋_GB2312"/>
                      <w:sz w:val="15"/>
                      <w:color w:val="000000"/>
                    </w:rPr>
                    <w:t>产品符合GB17498-2008国标要求，并提供国家体育用品质量监督检验中心检验合格的检验报告。</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件</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智能交互沙袋</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尺寸≥1650</w:t>
                  </w:r>
                  <w:r>
                    <w:rPr>
                      <w:rFonts w:ascii="仿宋_GB2312" w:hAnsi="仿宋_GB2312" w:cs="仿宋_GB2312" w:eastAsia="仿宋_GB2312"/>
                      <w:sz w:val="15"/>
                      <w:color w:val="000000"/>
                    </w:rPr>
                    <w:t>×</w:t>
                  </w:r>
                  <w:r>
                    <w:rPr>
                      <w:rFonts w:ascii="仿宋_GB2312" w:hAnsi="仿宋_GB2312" w:cs="仿宋_GB2312" w:eastAsia="仿宋_GB2312"/>
                      <w:sz w:val="15"/>
                      <w:color w:val="000000"/>
                    </w:rPr>
                    <w:t>1290</w:t>
                  </w:r>
                  <w:r>
                    <w:rPr>
                      <w:rFonts w:ascii="仿宋_GB2312" w:hAnsi="仿宋_GB2312" w:cs="仿宋_GB2312" w:eastAsia="仿宋_GB2312"/>
                      <w:sz w:val="15"/>
                      <w:color w:val="000000"/>
                    </w:rPr>
                    <w:t>×</w:t>
                  </w:r>
                  <w:r>
                    <w:rPr>
                      <w:rFonts w:ascii="仿宋_GB2312" w:hAnsi="仿宋_GB2312" w:cs="仿宋_GB2312" w:eastAsia="仿宋_GB2312"/>
                      <w:sz w:val="15"/>
                      <w:color w:val="000000"/>
                    </w:rPr>
                    <w:t>2150mm，电压要求</w:t>
                  </w:r>
                  <w:r>
                    <w:rPr>
                      <w:rFonts w:ascii="仿宋_GB2312" w:hAnsi="仿宋_GB2312" w:cs="仿宋_GB2312" w:eastAsia="仿宋_GB2312"/>
                      <w:sz w:val="15"/>
                      <w:color w:val="000000"/>
                    </w:rPr>
                    <w:t>：</w:t>
                  </w:r>
                  <w:r>
                    <w:rPr>
                      <w:rFonts w:ascii="仿宋_GB2312" w:hAnsi="仿宋_GB2312" w:cs="仿宋_GB2312" w:eastAsia="仿宋_GB2312"/>
                      <w:sz w:val="15"/>
                      <w:color w:val="000000"/>
                    </w:rPr>
                    <w:t>220V/10A，功率</w:t>
                  </w:r>
                  <w:r>
                    <w:rPr>
                      <w:rFonts w:ascii="仿宋_GB2312" w:hAnsi="仿宋_GB2312" w:cs="仿宋_GB2312" w:eastAsia="仿宋_GB2312"/>
                      <w:sz w:val="15"/>
                      <w:color w:val="000000"/>
                    </w:rPr>
                    <w:t>：</w:t>
                  </w:r>
                  <w:r>
                    <w:rPr>
                      <w:rFonts w:ascii="仿宋_GB2312" w:hAnsi="仿宋_GB2312" w:cs="仿宋_GB2312" w:eastAsia="仿宋_GB2312"/>
                      <w:sz w:val="15"/>
                      <w:color w:val="000000"/>
                    </w:rPr>
                    <w:t>18V*5A=90W，触摸屏规格</w:t>
                  </w:r>
                  <w:r>
                    <w:rPr>
                      <w:rFonts w:ascii="仿宋_GB2312" w:hAnsi="仿宋_GB2312" w:cs="仿宋_GB2312" w:eastAsia="仿宋_GB2312"/>
                      <w:sz w:val="15"/>
                      <w:color w:val="000000"/>
                    </w:rPr>
                    <w:t>：</w:t>
                  </w:r>
                  <w:r>
                    <w:rPr>
                      <w:rFonts w:ascii="仿宋_GB2312" w:hAnsi="仿宋_GB2312" w:cs="仿宋_GB2312" w:eastAsia="仿宋_GB2312"/>
                      <w:sz w:val="15"/>
                      <w:color w:val="000000"/>
                    </w:rPr>
                    <w:t>10英寸触摸屏，柔性交互屏规格</w:t>
                  </w:r>
                  <w:r>
                    <w:rPr>
                      <w:rFonts w:ascii="仿宋_GB2312" w:hAnsi="仿宋_GB2312" w:cs="仿宋_GB2312" w:eastAsia="仿宋_GB2312"/>
                      <w:sz w:val="15"/>
                      <w:color w:val="000000"/>
                    </w:rPr>
                    <w:t>：</w:t>
                  </w:r>
                  <w:r>
                    <w:rPr>
                      <w:rFonts w:ascii="仿宋_GB2312" w:hAnsi="仿宋_GB2312" w:cs="仿宋_GB2312" w:eastAsia="仿宋_GB2312"/>
                      <w:sz w:val="15"/>
                      <w:color w:val="000000"/>
                    </w:rPr>
                    <w:t>沙袋内置400mm</w:t>
                  </w:r>
                  <w:r>
                    <w:rPr>
                      <w:rFonts w:ascii="仿宋_GB2312" w:hAnsi="仿宋_GB2312" w:cs="仿宋_GB2312" w:eastAsia="仿宋_GB2312"/>
                      <w:sz w:val="15"/>
                      <w:color w:val="000000"/>
                    </w:rPr>
                    <w:t>×</w:t>
                  </w:r>
                  <w:r>
                    <w:rPr>
                      <w:rFonts w:ascii="仿宋_GB2312" w:hAnsi="仿宋_GB2312" w:cs="仿宋_GB2312" w:eastAsia="仿宋_GB2312"/>
                      <w:sz w:val="15"/>
                      <w:color w:val="000000"/>
                    </w:rPr>
                    <w:t>500mm柔性交互屏，程序</w:t>
                  </w:r>
                  <w:r>
                    <w:rPr>
                      <w:rFonts w:ascii="仿宋_GB2312" w:hAnsi="仿宋_GB2312" w:cs="仿宋_GB2312" w:eastAsia="仿宋_GB2312"/>
                      <w:sz w:val="15"/>
                      <w:color w:val="000000"/>
                    </w:rPr>
                    <w:t>：</w:t>
                  </w:r>
                  <w:r>
                    <w:rPr>
                      <w:rFonts w:ascii="仿宋_GB2312" w:hAnsi="仿宋_GB2312" w:cs="仿宋_GB2312" w:eastAsia="仿宋_GB2312"/>
                      <w:sz w:val="15"/>
                      <w:color w:val="000000"/>
                    </w:rPr>
                    <w:t>闯关、训练、无尽、挑战。净重</w:t>
                  </w:r>
                  <w:r>
                    <w:rPr>
                      <w:rFonts w:ascii="仿宋_GB2312" w:hAnsi="仿宋_GB2312" w:cs="仿宋_GB2312" w:eastAsia="仿宋_GB2312"/>
                      <w:sz w:val="15"/>
                      <w:color w:val="000000"/>
                    </w:rPr>
                    <w:t>：</w:t>
                  </w:r>
                  <w:r>
                    <w:rPr>
                      <w:rFonts w:ascii="仿宋_GB2312" w:hAnsi="仿宋_GB2312" w:cs="仿宋_GB2312" w:eastAsia="仿宋_GB2312"/>
                      <w:sz w:val="15"/>
                      <w:color w:val="000000"/>
                    </w:rPr>
                    <w:t>125kg。</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件</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5</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三站综合机</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尺寸≥1872×1626×2200（mm）；重量≥222kg； 管材符合 《GB 17498.2-2008 固定式健身器材》标准；不锈钢护罩，美观安全;钢索：国产φ4.8mm钢索，增加产品的安全性和耐用性;滑轮：滑轮采用健身房器材的专用轴承滑轮，使用强度和耐磨性极大加强；至少满足十种锻炼方式。</w:t>
                  </w:r>
                </w:p>
                <w:p>
                  <w:pPr>
                    <w:pStyle w:val="null3"/>
                    <w:jc w:val="left"/>
                  </w:pPr>
                  <w:r>
                    <w:rPr>
                      <w:rFonts w:ascii="仿宋_GB2312" w:hAnsi="仿宋_GB2312" w:cs="仿宋_GB2312" w:eastAsia="仿宋_GB2312"/>
                      <w:sz w:val="15"/>
                      <w:color w:val="000000"/>
                    </w:rPr>
                    <w:t>★</w:t>
                  </w:r>
                  <w:r>
                    <w:rPr>
                      <w:rFonts w:ascii="仿宋_GB2312" w:hAnsi="仿宋_GB2312" w:cs="仿宋_GB2312" w:eastAsia="仿宋_GB2312"/>
                      <w:sz w:val="15"/>
                      <w:color w:val="000000"/>
                    </w:rPr>
                    <w:t>产品符合GB17498-2008国标要求，并提供国家体育用品质量监督检验中心检验合格的检验报告。</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件</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6</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可调式双滑轮多功能训练器</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r>
                    <w:rPr>
                      <w:rFonts w:ascii="仿宋_GB2312" w:hAnsi="仿宋_GB2312" w:cs="仿宋_GB2312" w:eastAsia="仿宋_GB2312"/>
                      <w:sz w:val="15"/>
                      <w:color w:val="000000"/>
                    </w:rPr>
                    <w:t>管材采用方钢管材或圆管，管壁厚度≥2.5mm；</w:t>
                  </w:r>
                </w:p>
                <w:p>
                  <w:pPr>
                    <w:pStyle w:val="null3"/>
                    <w:jc w:val="left"/>
                  </w:pPr>
                  <w:r>
                    <w:rPr>
                      <w:rFonts w:ascii="仿宋_GB2312" w:hAnsi="仿宋_GB2312" w:cs="仿宋_GB2312" w:eastAsia="仿宋_GB2312"/>
                      <w:sz w:val="15"/>
                      <w:color w:val="000000"/>
                    </w:rPr>
                    <w:t>2）</w:t>
                  </w:r>
                  <w:r>
                    <w:rPr>
                      <w:rFonts w:ascii="仿宋_GB2312" w:hAnsi="仿宋_GB2312" w:cs="仿宋_GB2312" w:eastAsia="仿宋_GB2312"/>
                      <w:sz w:val="15"/>
                      <w:color w:val="000000"/>
                    </w:rPr>
                    <w:t>最大训练载荷：≥90kg×2；</w:t>
                  </w:r>
                </w:p>
                <w:p>
                  <w:pPr>
                    <w:pStyle w:val="null3"/>
                    <w:jc w:val="left"/>
                  </w:pP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color w:val="000000"/>
                    </w:rPr>
                    <w:t>钢索：须采用≥φ4.8mm钢索，增加产品的安全性和耐用性；</w:t>
                  </w:r>
                </w:p>
                <w:p>
                  <w:pPr>
                    <w:pStyle w:val="null3"/>
                    <w:jc w:val="left"/>
                  </w:pPr>
                  <w:r>
                    <w:rPr>
                      <w:rFonts w:ascii="仿宋_GB2312" w:hAnsi="仿宋_GB2312" w:cs="仿宋_GB2312" w:eastAsia="仿宋_GB2312"/>
                      <w:sz w:val="15"/>
                      <w:color w:val="000000"/>
                    </w:rPr>
                    <w:t>4</w:t>
                  </w:r>
                  <w:r>
                    <w:rPr>
                      <w:rFonts w:ascii="仿宋_GB2312" w:hAnsi="仿宋_GB2312" w:cs="仿宋_GB2312" w:eastAsia="仿宋_GB2312"/>
                      <w:sz w:val="15"/>
                      <w:color w:val="000000"/>
                    </w:rPr>
                    <w:t>）</w:t>
                  </w:r>
                  <w:r>
                    <w:rPr>
                      <w:rFonts w:ascii="仿宋_GB2312" w:hAnsi="仿宋_GB2312" w:cs="仿宋_GB2312" w:eastAsia="仿宋_GB2312"/>
                      <w:sz w:val="15"/>
                      <w:color w:val="000000"/>
                    </w:rPr>
                    <w:t>主架具有上下两处收纳架，可收纳更多附件，为进阶用户提供多种动作选择；</w:t>
                  </w:r>
                </w:p>
                <w:p>
                  <w:pPr>
                    <w:pStyle w:val="null3"/>
                    <w:jc w:val="left"/>
                  </w:pPr>
                  <w:r>
                    <w:rPr>
                      <w:rFonts w:ascii="仿宋_GB2312" w:hAnsi="仿宋_GB2312" w:cs="仿宋_GB2312" w:eastAsia="仿宋_GB2312"/>
                      <w:sz w:val="15"/>
                      <w:color w:val="000000"/>
                    </w:rPr>
                    <w:t>5</w:t>
                  </w:r>
                  <w:r>
                    <w:rPr>
                      <w:rFonts w:ascii="仿宋_GB2312" w:hAnsi="仿宋_GB2312" w:cs="仿宋_GB2312" w:eastAsia="仿宋_GB2312"/>
                      <w:sz w:val="15"/>
                      <w:color w:val="000000"/>
                    </w:rPr>
                    <w:t>）</w:t>
                  </w:r>
                  <w:r>
                    <w:rPr>
                      <w:rFonts w:ascii="仿宋_GB2312" w:hAnsi="仿宋_GB2312" w:cs="仿宋_GB2312" w:eastAsia="仿宋_GB2312"/>
                      <w:sz w:val="15"/>
                      <w:color w:val="000000"/>
                    </w:rPr>
                    <w:t>动态组件：所有滑轮.绳索等动态组件均要配备防护罩，有效避免对使用者及周围人群造成伤害；</w:t>
                  </w:r>
                </w:p>
                <w:p>
                  <w:pPr>
                    <w:pStyle w:val="null3"/>
                    <w:jc w:val="left"/>
                  </w:pPr>
                  <w:r>
                    <w:rPr>
                      <w:rFonts w:ascii="仿宋_GB2312" w:hAnsi="仿宋_GB2312" w:cs="仿宋_GB2312" w:eastAsia="仿宋_GB2312"/>
                      <w:sz w:val="15"/>
                      <w:color w:val="000000"/>
                    </w:rPr>
                    <w:t>6</w:t>
                  </w:r>
                  <w:r>
                    <w:rPr>
                      <w:rFonts w:ascii="仿宋_GB2312" w:hAnsi="仿宋_GB2312" w:cs="仿宋_GB2312" w:eastAsia="仿宋_GB2312"/>
                      <w:sz w:val="15"/>
                      <w:color w:val="000000"/>
                    </w:rPr>
                    <w:t>）</w:t>
                  </w:r>
                  <w:r>
                    <w:rPr>
                      <w:rFonts w:ascii="仿宋_GB2312" w:hAnsi="仿宋_GB2312" w:cs="仿宋_GB2312" w:eastAsia="仿宋_GB2312"/>
                      <w:sz w:val="15"/>
                      <w:color w:val="000000"/>
                    </w:rPr>
                    <w:t>护罩：不锈钢护罩；</w:t>
                  </w:r>
                </w:p>
                <w:p>
                  <w:pPr>
                    <w:pStyle w:val="null3"/>
                    <w:jc w:val="left"/>
                  </w:pP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产品尺寸：≥1600×</w:t>
                  </w:r>
                  <w:r>
                    <w:rPr>
                      <w:rFonts w:ascii="仿宋_GB2312" w:hAnsi="仿宋_GB2312" w:cs="仿宋_GB2312" w:eastAsia="仿宋_GB2312"/>
                      <w:sz w:val="15"/>
                      <w:color w:val="000000"/>
                    </w:rPr>
                    <w:t>1100</w:t>
                  </w:r>
                  <w:r>
                    <w:rPr>
                      <w:rFonts w:ascii="仿宋_GB2312" w:hAnsi="仿宋_GB2312" w:cs="仿宋_GB2312" w:eastAsia="仿宋_GB2312"/>
                      <w:sz w:val="15"/>
                      <w:color w:val="000000"/>
                    </w:rPr>
                    <w:t>×2100（mm）；</w:t>
                  </w:r>
                </w:p>
                <w:p>
                  <w:pPr>
                    <w:pStyle w:val="null3"/>
                    <w:jc w:val="left"/>
                  </w:pPr>
                  <w:r>
                    <w:rPr>
                      <w:rFonts w:ascii="仿宋_GB2312" w:hAnsi="仿宋_GB2312" w:cs="仿宋_GB2312" w:eastAsia="仿宋_GB2312"/>
                      <w:sz w:val="15"/>
                      <w:color w:val="000000"/>
                    </w:rPr>
                    <w:t>8</w:t>
                  </w:r>
                  <w:r>
                    <w:rPr>
                      <w:rFonts w:ascii="仿宋_GB2312" w:hAnsi="仿宋_GB2312" w:cs="仿宋_GB2312" w:eastAsia="仿宋_GB2312"/>
                      <w:sz w:val="15"/>
                      <w:color w:val="000000"/>
                    </w:rPr>
                    <w:t>）</w:t>
                  </w:r>
                  <w:r>
                    <w:rPr>
                      <w:rFonts w:ascii="仿宋_GB2312" w:hAnsi="仿宋_GB2312" w:cs="仿宋_GB2312" w:eastAsia="仿宋_GB2312"/>
                      <w:sz w:val="15"/>
                      <w:color w:val="000000"/>
                    </w:rPr>
                    <w:t>锻炼肌肉：锻炼内容可涉及胸、肩、背、腿等人体各大肌肉群；</w:t>
                  </w:r>
                </w:p>
                <w:p>
                  <w:pPr>
                    <w:pStyle w:val="null3"/>
                    <w:jc w:val="left"/>
                  </w:pPr>
                  <w:r>
                    <w:rPr>
                      <w:rFonts w:ascii="仿宋_GB2312" w:hAnsi="仿宋_GB2312" w:cs="仿宋_GB2312" w:eastAsia="仿宋_GB2312"/>
                      <w:sz w:val="15"/>
                      <w:color w:val="000000"/>
                    </w:rPr>
                    <w:t>9</w:t>
                  </w:r>
                  <w:r>
                    <w:rPr>
                      <w:rFonts w:ascii="仿宋_GB2312" w:hAnsi="仿宋_GB2312" w:cs="仿宋_GB2312" w:eastAsia="仿宋_GB2312"/>
                      <w:sz w:val="15"/>
                      <w:color w:val="000000"/>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产品符合GB17498-2008国标要求，并提供国家体育用品质量监督检验中心检验合格的检验报告。</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件</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7</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多功能可调式练习椅</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尺寸≥</w:t>
                  </w:r>
                  <w:r>
                    <w:rPr>
                      <w:rFonts w:ascii="仿宋_GB2312" w:hAnsi="仿宋_GB2312" w:cs="仿宋_GB2312" w:eastAsia="仿宋_GB2312"/>
                      <w:sz w:val="15"/>
                      <w:color w:val="000000"/>
                    </w:rPr>
                    <w:t>1220</w:t>
                  </w:r>
                  <w:r>
                    <w:rPr>
                      <w:rFonts w:ascii="仿宋_GB2312" w:hAnsi="仿宋_GB2312" w:cs="仿宋_GB2312" w:eastAsia="仿宋_GB2312"/>
                      <w:sz w:val="15"/>
                      <w:color w:val="000000"/>
                    </w:rPr>
                    <w:t>×</w:t>
                  </w:r>
                  <w:r>
                    <w:rPr>
                      <w:rFonts w:ascii="仿宋_GB2312" w:hAnsi="仿宋_GB2312" w:cs="仿宋_GB2312" w:eastAsia="仿宋_GB2312"/>
                      <w:sz w:val="15"/>
                      <w:color w:val="000000"/>
                    </w:rPr>
                    <w:t>740</w:t>
                  </w:r>
                  <w:r>
                    <w:rPr>
                      <w:rFonts w:ascii="仿宋_GB2312" w:hAnsi="仿宋_GB2312" w:cs="仿宋_GB2312" w:eastAsia="仿宋_GB2312"/>
                      <w:sz w:val="15"/>
                      <w:color w:val="000000"/>
                    </w:rPr>
                    <w:t>×</w:t>
                  </w:r>
                  <w:r>
                    <w:rPr>
                      <w:rFonts w:ascii="仿宋_GB2312" w:hAnsi="仿宋_GB2312" w:cs="仿宋_GB2312" w:eastAsia="仿宋_GB2312"/>
                      <w:sz w:val="15"/>
                      <w:color w:val="000000"/>
                    </w:rPr>
                    <w:t>730</w:t>
                  </w:r>
                  <w:r>
                    <w:rPr>
                      <w:rFonts w:ascii="仿宋_GB2312" w:hAnsi="仿宋_GB2312" w:cs="仿宋_GB2312" w:eastAsia="仿宋_GB2312"/>
                      <w:sz w:val="15"/>
                      <w:color w:val="000000"/>
                    </w:rPr>
                    <w:t>(mm)；管材符合《GB 17498-2008固定式健身器材》标准；座靠垫采用自动拖动调节结构</w:t>
                  </w:r>
                </w:p>
                <w:p>
                  <w:pPr>
                    <w:pStyle w:val="null3"/>
                    <w:jc w:val="left"/>
                  </w:pPr>
                  <w:r>
                    <w:rPr>
                      <w:rFonts w:ascii="仿宋_GB2312" w:hAnsi="仿宋_GB2312" w:cs="仿宋_GB2312" w:eastAsia="仿宋_GB2312"/>
                      <w:sz w:val="15"/>
                      <w:color w:val="000000"/>
                    </w:rPr>
                    <w:t>★</w:t>
                  </w:r>
                  <w:r>
                    <w:rPr>
                      <w:rFonts w:ascii="仿宋_GB2312" w:hAnsi="仿宋_GB2312" w:cs="仿宋_GB2312" w:eastAsia="仿宋_GB2312"/>
                      <w:sz w:val="15"/>
                      <w:color w:val="000000"/>
                    </w:rPr>
                    <w:t>产品符合GB17498-2008国标要求，并提供国家体育用品质量监督检验中心检验合格的检验报告。</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件</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8</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腹肌板</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尺寸≥1600×550×</w:t>
                  </w:r>
                  <w:r>
                    <w:rPr>
                      <w:rFonts w:ascii="仿宋_GB2312" w:hAnsi="仿宋_GB2312" w:cs="仿宋_GB2312" w:eastAsia="仿宋_GB2312"/>
                      <w:sz w:val="15"/>
                      <w:color w:val="000000"/>
                    </w:rPr>
                    <w:t>1100</w:t>
                  </w:r>
                  <w:r>
                    <w:rPr>
                      <w:rFonts w:ascii="仿宋_GB2312" w:hAnsi="仿宋_GB2312" w:cs="仿宋_GB2312" w:eastAsia="仿宋_GB2312"/>
                      <w:sz w:val="15"/>
                      <w:color w:val="000000"/>
                    </w:rPr>
                    <w:t>(mm)；管材符合《GB 17498-2008固定式健身器材》标准；把手防滑；重量≥30kg</w:t>
                  </w:r>
                </w:p>
                <w:p>
                  <w:pPr>
                    <w:pStyle w:val="null3"/>
                    <w:jc w:val="left"/>
                  </w:pPr>
                  <w:r>
                    <w:rPr>
                      <w:rFonts w:ascii="仿宋_GB2312" w:hAnsi="仿宋_GB2312" w:cs="仿宋_GB2312" w:eastAsia="仿宋_GB2312"/>
                      <w:sz w:val="15"/>
                      <w:color w:val="000000"/>
                    </w:rPr>
                    <w:t>★</w:t>
                  </w:r>
                  <w:r>
                    <w:rPr>
                      <w:rFonts w:ascii="仿宋_GB2312" w:hAnsi="仿宋_GB2312" w:cs="仿宋_GB2312" w:eastAsia="仿宋_GB2312"/>
                      <w:sz w:val="15"/>
                      <w:color w:val="000000"/>
                    </w:rPr>
                    <w:t>产品符合GB17498-2008国标要求，并提供国家体育用品质量监督检验中心检验合格的检验报告。</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件</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9</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哑铃套组</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配置不少于10副的哑铃，哑铃重量不低于260公斤，配皮面条凳一个。</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组</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10</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乒乓球台</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台面尺寸≥2740</w:t>
                  </w:r>
                  <w:r>
                    <w:rPr>
                      <w:rFonts w:ascii="仿宋_GB2312" w:hAnsi="仿宋_GB2312" w:cs="仿宋_GB2312" w:eastAsia="仿宋_GB2312"/>
                      <w:sz w:val="15"/>
                      <w:color w:val="000000"/>
                    </w:rPr>
                    <w:t>×</w:t>
                  </w:r>
                  <w:r>
                    <w:rPr>
                      <w:rFonts w:ascii="仿宋_GB2312" w:hAnsi="仿宋_GB2312" w:cs="仿宋_GB2312" w:eastAsia="仿宋_GB2312"/>
                      <w:sz w:val="15"/>
                      <w:color w:val="000000"/>
                    </w:rPr>
                    <w:t>1525</w:t>
                  </w:r>
                  <w:r>
                    <w:rPr>
                      <w:rFonts w:ascii="仿宋_GB2312" w:hAnsi="仿宋_GB2312" w:cs="仿宋_GB2312" w:eastAsia="仿宋_GB2312"/>
                      <w:sz w:val="15"/>
                      <w:color w:val="000000"/>
                    </w:rPr>
                    <w:t>，</w:t>
                  </w:r>
                  <w:r>
                    <w:rPr>
                      <w:rFonts w:ascii="仿宋_GB2312" w:hAnsi="仿宋_GB2312" w:cs="仿宋_GB2312" w:eastAsia="仿宋_GB2312"/>
                      <w:sz w:val="15"/>
                      <w:color w:val="000000"/>
                    </w:rPr>
                    <w:t>台高</w:t>
                  </w:r>
                  <w:r>
                    <w:rPr>
                      <w:rFonts w:ascii="仿宋_GB2312" w:hAnsi="仿宋_GB2312" w:cs="仿宋_GB2312" w:eastAsia="仿宋_GB2312"/>
                      <w:sz w:val="15"/>
                      <w:color w:val="000000"/>
                    </w:rPr>
                    <w:t>：</w:t>
                  </w:r>
                  <w:r>
                    <w:rPr>
                      <w:rFonts w:ascii="仿宋_GB2312" w:hAnsi="仿宋_GB2312" w:cs="仿宋_GB2312" w:eastAsia="仿宋_GB2312"/>
                      <w:sz w:val="15"/>
                      <w:color w:val="000000"/>
                    </w:rPr>
                    <w:t>760</w:t>
                  </w:r>
                  <w:r>
                    <w:rPr>
                      <w:rFonts w:ascii="仿宋_GB2312" w:hAnsi="仿宋_GB2312" w:cs="仿宋_GB2312" w:eastAsia="仿宋_GB2312"/>
                      <w:sz w:val="15"/>
                      <w:color w:val="000000"/>
                    </w:rPr>
                    <w:t>，</w:t>
                  </w:r>
                  <w:r>
                    <w:rPr>
                      <w:rFonts w:ascii="仿宋_GB2312" w:hAnsi="仿宋_GB2312" w:cs="仿宋_GB2312" w:eastAsia="仿宋_GB2312"/>
                      <w:sz w:val="15"/>
                      <w:color w:val="000000"/>
                    </w:rPr>
                    <w:t>弹性</w:t>
                  </w:r>
                  <w:r>
                    <w:rPr>
                      <w:rFonts w:ascii="仿宋_GB2312" w:hAnsi="仿宋_GB2312" w:cs="仿宋_GB2312" w:eastAsia="仿宋_GB2312"/>
                      <w:sz w:val="15"/>
                      <w:color w:val="000000"/>
                    </w:rPr>
                    <w:t>：</w:t>
                  </w:r>
                  <w:r>
                    <w:rPr>
                      <w:rFonts w:ascii="仿宋_GB2312" w:hAnsi="仿宋_GB2312" w:cs="仿宋_GB2312" w:eastAsia="仿宋_GB2312"/>
                      <w:sz w:val="15"/>
                      <w:color w:val="000000"/>
                    </w:rPr>
                    <w:t>220-250</w:t>
                  </w:r>
                  <w:r>
                    <w:rPr>
                      <w:rFonts w:ascii="仿宋_GB2312" w:hAnsi="仿宋_GB2312" w:cs="仿宋_GB2312" w:eastAsia="仿宋_GB2312"/>
                      <w:sz w:val="15"/>
                      <w:color w:val="000000"/>
                    </w:rPr>
                    <w:t>，</w:t>
                  </w:r>
                  <w:r>
                    <w:rPr>
                      <w:rFonts w:ascii="仿宋_GB2312" w:hAnsi="仿宋_GB2312" w:cs="仿宋_GB2312" w:eastAsia="仿宋_GB2312"/>
                      <w:sz w:val="15"/>
                      <w:color w:val="000000"/>
                    </w:rPr>
                    <w:t>弹性均匀度</w:t>
                  </w:r>
                  <w:r>
                    <w:rPr>
                      <w:rFonts w:ascii="仿宋_GB2312" w:hAnsi="仿宋_GB2312" w:cs="仿宋_GB2312" w:eastAsia="仿宋_GB2312"/>
                      <w:sz w:val="15"/>
                      <w:color w:val="000000"/>
                    </w:rPr>
                    <w:t>：</w:t>
                  </w:r>
                  <w:r>
                    <w:rPr>
                      <w:rFonts w:ascii="仿宋_GB2312" w:hAnsi="仿宋_GB2312" w:cs="仿宋_GB2312" w:eastAsia="仿宋_GB2312"/>
                      <w:sz w:val="15"/>
                      <w:color w:val="000000"/>
                    </w:rPr>
                    <w:t>≤10.台面光泽度</w:t>
                  </w:r>
                  <w:r>
                    <w:rPr>
                      <w:rFonts w:ascii="仿宋_GB2312" w:hAnsi="仿宋_GB2312" w:cs="仿宋_GB2312" w:eastAsia="仿宋_GB2312"/>
                      <w:sz w:val="15"/>
                      <w:color w:val="000000"/>
                    </w:rPr>
                    <w:t>：</w:t>
                  </w:r>
                  <w:r>
                    <w:rPr>
                      <w:rFonts w:ascii="仿宋_GB2312" w:hAnsi="仿宋_GB2312" w:cs="仿宋_GB2312" w:eastAsia="仿宋_GB2312"/>
                      <w:sz w:val="15"/>
                      <w:color w:val="000000"/>
                    </w:rPr>
                    <w:t>≤10度</w:t>
                  </w:r>
                  <w:r>
                    <w:rPr>
                      <w:rFonts w:ascii="仿宋_GB2312" w:hAnsi="仿宋_GB2312" w:cs="仿宋_GB2312" w:eastAsia="仿宋_GB2312"/>
                      <w:sz w:val="15"/>
                      <w:color w:val="000000"/>
                    </w:rPr>
                    <w:t>，</w:t>
                  </w:r>
                  <w:r>
                    <w:rPr>
                      <w:rFonts w:ascii="仿宋_GB2312" w:hAnsi="仿宋_GB2312" w:cs="仿宋_GB2312" w:eastAsia="仿宋_GB2312"/>
                      <w:sz w:val="15"/>
                      <w:color w:val="000000"/>
                    </w:rPr>
                    <w:t>台面摩擦系数</w:t>
                  </w:r>
                  <w:r>
                    <w:rPr>
                      <w:rFonts w:ascii="仿宋_GB2312" w:hAnsi="仿宋_GB2312" w:cs="仿宋_GB2312" w:eastAsia="仿宋_GB2312"/>
                      <w:sz w:val="15"/>
                      <w:color w:val="000000"/>
                    </w:rPr>
                    <w:t>：</w:t>
                  </w:r>
                  <w:r>
                    <w:rPr>
                      <w:rFonts w:ascii="仿宋_GB2312" w:hAnsi="仿宋_GB2312" w:cs="仿宋_GB2312" w:eastAsia="仿宋_GB2312"/>
                      <w:sz w:val="15"/>
                      <w:color w:val="000000"/>
                    </w:rPr>
                    <w:t>≤0.4</w:t>
                  </w:r>
                  <w:r>
                    <w:rPr>
                      <w:rFonts w:ascii="仿宋_GB2312" w:hAnsi="仿宋_GB2312" w:cs="仿宋_GB2312" w:eastAsia="仿宋_GB2312"/>
                      <w:sz w:val="15"/>
                      <w:color w:val="000000"/>
                    </w:rPr>
                    <w:t>，</w:t>
                  </w:r>
                  <w:r>
                    <w:rPr>
                      <w:rFonts w:ascii="仿宋_GB2312" w:hAnsi="仿宋_GB2312" w:cs="仿宋_GB2312" w:eastAsia="仿宋_GB2312"/>
                      <w:sz w:val="15"/>
                      <w:color w:val="000000"/>
                    </w:rPr>
                    <w:t>球台稳定性</w:t>
                  </w:r>
                  <w:r>
                    <w:rPr>
                      <w:rFonts w:ascii="仿宋_GB2312" w:hAnsi="仿宋_GB2312" w:cs="仿宋_GB2312" w:eastAsia="仿宋_GB2312"/>
                      <w:sz w:val="15"/>
                      <w:color w:val="000000"/>
                    </w:rPr>
                    <w:t>：</w:t>
                  </w: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台面厚度</w:t>
                  </w:r>
                  <w:r>
                    <w:rPr>
                      <w:rFonts w:ascii="仿宋_GB2312" w:hAnsi="仿宋_GB2312" w:cs="仿宋_GB2312" w:eastAsia="仿宋_GB2312"/>
                      <w:sz w:val="15"/>
                      <w:color w:val="000000"/>
                    </w:rPr>
                    <w:t>：</w:t>
                  </w:r>
                  <w:r>
                    <w:rPr>
                      <w:rFonts w:ascii="仿宋_GB2312" w:hAnsi="仿宋_GB2312" w:cs="仿宋_GB2312" w:eastAsia="仿宋_GB2312"/>
                      <w:sz w:val="15"/>
                      <w:color w:val="000000"/>
                    </w:rPr>
                    <w:t>25</w:t>
                  </w:r>
                  <w:r>
                    <w:rPr>
                      <w:rFonts w:ascii="仿宋_GB2312" w:hAnsi="仿宋_GB2312" w:cs="仿宋_GB2312" w:eastAsia="仿宋_GB2312"/>
                      <w:sz w:val="15"/>
                      <w:color w:val="000000"/>
                    </w:rPr>
                    <w:t>。</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件</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2</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11</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室内象棋桌</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台面尺寸≥600</w:t>
                  </w:r>
                  <w:r>
                    <w:rPr>
                      <w:rFonts w:ascii="仿宋_GB2312" w:hAnsi="仿宋_GB2312" w:cs="仿宋_GB2312" w:eastAsia="仿宋_GB2312"/>
                      <w:sz w:val="15"/>
                      <w:color w:val="000000"/>
                    </w:rPr>
                    <w:t>×</w:t>
                  </w:r>
                  <w:r>
                    <w:rPr>
                      <w:rFonts w:ascii="仿宋_GB2312" w:hAnsi="仿宋_GB2312" w:cs="仿宋_GB2312" w:eastAsia="仿宋_GB2312"/>
                      <w:sz w:val="15"/>
                      <w:color w:val="000000"/>
                    </w:rPr>
                    <w:t>600mm</w:t>
                  </w:r>
                  <w:r>
                    <w:rPr>
                      <w:rFonts w:ascii="仿宋_GB2312" w:hAnsi="仿宋_GB2312" w:cs="仿宋_GB2312" w:eastAsia="仿宋_GB2312"/>
                      <w:sz w:val="15"/>
                      <w:color w:val="000000"/>
                    </w:rPr>
                    <w:t>，</w:t>
                  </w:r>
                  <w:r>
                    <w:rPr>
                      <w:rFonts w:ascii="仿宋_GB2312" w:hAnsi="仿宋_GB2312" w:cs="仿宋_GB2312" w:eastAsia="仿宋_GB2312"/>
                      <w:sz w:val="15"/>
                      <w:color w:val="000000"/>
                    </w:rPr>
                    <w:t>台高</w:t>
                  </w:r>
                  <w:r>
                    <w:rPr>
                      <w:rFonts w:ascii="仿宋_GB2312" w:hAnsi="仿宋_GB2312" w:cs="仿宋_GB2312" w:eastAsia="仿宋_GB2312"/>
                      <w:sz w:val="15"/>
                      <w:color w:val="000000"/>
                    </w:rPr>
                    <w:t>：</w:t>
                  </w:r>
                  <w:r>
                    <w:rPr>
                      <w:rFonts w:ascii="仿宋_GB2312" w:hAnsi="仿宋_GB2312" w:cs="仿宋_GB2312" w:eastAsia="仿宋_GB2312"/>
                      <w:sz w:val="15"/>
                      <w:color w:val="000000"/>
                    </w:rPr>
                    <w:t>500mm</w:t>
                  </w:r>
                  <w:r>
                    <w:rPr>
                      <w:rFonts w:ascii="仿宋_GB2312" w:hAnsi="仿宋_GB2312" w:cs="仿宋_GB2312" w:eastAsia="仿宋_GB2312"/>
                      <w:sz w:val="15"/>
                      <w:color w:val="000000"/>
                    </w:rPr>
                    <w:t>，</w:t>
                  </w:r>
                  <w:r>
                    <w:rPr>
                      <w:rFonts w:ascii="仿宋_GB2312" w:hAnsi="仿宋_GB2312" w:cs="仿宋_GB2312" w:eastAsia="仿宋_GB2312"/>
                      <w:sz w:val="15"/>
                      <w:color w:val="000000"/>
                    </w:rPr>
                    <w:t>实木材质，配四把实木椅子</w:t>
                  </w:r>
                  <w:r>
                    <w:rPr>
                      <w:rFonts w:ascii="仿宋_GB2312" w:hAnsi="仿宋_GB2312" w:cs="仿宋_GB2312" w:eastAsia="仿宋_GB2312"/>
                      <w:sz w:val="15"/>
                      <w:color w:val="000000"/>
                    </w:rPr>
                    <w:t>。</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件</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12</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室内围棋桌</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台面尺寸≥600</w:t>
                  </w:r>
                  <w:r>
                    <w:rPr>
                      <w:rFonts w:ascii="仿宋_GB2312" w:hAnsi="仿宋_GB2312" w:cs="仿宋_GB2312" w:eastAsia="仿宋_GB2312"/>
                      <w:sz w:val="15"/>
                      <w:color w:val="000000"/>
                    </w:rPr>
                    <w:t>×</w:t>
                  </w:r>
                  <w:r>
                    <w:rPr>
                      <w:rFonts w:ascii="仿宋_GB2312" w:hAnsi="仿宋_GB2312" w:cs="仿宋_GB2312" w:eastAsia="仿宋_GB2312"/>
                      <w:sz w:val="15"/>
                      <w:color w:val="000000"/>
                    </w:rPr>
                    <w:t>600mm</w:t>
                  </w:r>
                  <w:r>
                    <w:rPr>
                      <w:rFonts w:ascii="仿宋_GB2312" w:hAnsi="仿宋_GB2312" w:cs="仿宋_GB2312" w:eastAsia="仿宋_GB2312"/>
                      <w:sz w:val="15"/>
                      <w:color w:val="000000"/>
                    </w:rPr>
                    <w:t>，</w:t>
                  </w:r>
                  <w:r>
                    <w:rPr>
                      <w:rFonts w:ascii="仿宋_GB2312" w:hAnsi="仿宋_GB2312" w:cs="仿宋_GB2312" w:eastAsia="仿宋_GB2312"/>
                      <w:sz w:val="15"/>
                      <w:color w:val="000000"/>
                    </w:rPr>
                    <w:t>台高</w:t>
                  </w:r>
                  <w:r>
                    <w:rPr>
                      <w:rFonts w:ascii="仿宋_GB2312" w:hAnsi="仿宋_GB2312" w:cs="仿宋_GB2312" w:eastAsia="仿宋_GB2312"/>
                      <w:sz w:val="15"/>
                      <w:color w:val="000000"/>
                    </w:rPr>
                    <w:t>：</w:t>
                  </w:r>
                  <w:r>
                    <w:rPr>
                      <w:rFonts w:ascii="仿宋_GB2312" w:hAnsi="仿宋_GB2312" w:cs="仿宋_GB2312" w:eastAsia="仿宋_GB2312"/>
                      <w:sz w:val="15"/>
                      <w:color w:val="000000"/>
                    </w:rPr>
                    <w:t>500mm</w:t>
                  </w:r>
                  <w:r>
                    <w:rPr>
                      <w:rFonts w:ascii="仿宋_GB2312" w:hAnsi="仿宋_GB2312" w:cs="仿宋_GB2312" w:eastAsia="仿宋_GB2312"/>
                      <w:sz w:val="15"/>
                      <w:color w:val="000000"/>
                    </w:rPr>
                    <w:t>，</w:t>
                  </w:r>
                  <w:r>
                    <w:rPr>
                      <w:rFonts w:ascii="仿宋_GB2312" w:hAnsi="仿宋_GB2312" w:cs="仿宋_GB2312" w:eastAsia="仿宋_GB2312"/>
                      <w:sz w:val="15"/>
                      <w:color w:val="000000"/>
                    </w:rPr>
                    <w:t>实木材质，配</w:t>
                  </w:r>
                  <w:r>
                    <w:rPr>
                      <w:rFonts w:ascii="仿宋_GB2312" w:hAnsi="仿宋_GB2312" w:cs="仿宋_GB2312" w:eastAsia="仿宋_GB2312"/>
                      <w:sz w:val="15"/>
                      <w:color w:val="000000"/>
                    </w:rPr>
                    <w:t>两</w:t>
                  </w:r>
                  <w:r>
                    <w:rPr>
                      <w:rFonts w:ascii="仿宋_GB2312" w:hAnsi="仿宋_GB2312" w:cs="仿宋_GB2312" w:eastAsia="仿宋_GB2312"/>
                      <w:sz w:val="15"/>
                      <w:color w:val="000000"/>
                    </w:rPr>
                    <w:t>把实木椅子</w:t>
                  </w:r>
                  <w:r>
                    <w:rPr>
                      <w:rFonts w:ascii="仿宋_GB2312" w:hAnsi="仿宋_GB2312" w:cs="仿宋_GB2312" w:eastAsia="仿宋_GB2312"/>
                      <w:sz w:val="15"/>
                      <w:color w:val="000000"/>
                    </w:rPr>
                    <w:t>。</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件</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13</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场地地胶</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5"/>
                      <w:color w:val="000000"/>
                    </w:rPr>
                    <w:t>规格格尺寸：产品总厚度：≥ 4.5 mm，耐磨层厚度≥ 1.2 mm。</w:t>
                  </w:r>
                </w:p>
                <w:p>
                  <w:pPr>
                    <w:pStyle w:val="null3"/>
                  </w:pPr>
                  <w:r>
                    <w:rPr>
                      <w:rFonts w:ascii="仿宋_GB2312" w:hAnsi="仿宋_GB2312" w:cs="仿宋_GB2312" w:eastAsia="仿宋_GB2312"/>
                      <w:sz w:val="15"/>
                      <w:color w:val="000000"/>
                    </w:rPr>
                    <w:t>1）外观：色泽均匀，无明显色差，无裂痕、分层等缺陷</w:t>
                  </w:r>
                </w:p>
                <w:p>
                  <w:pPr>
                    <w:pStyle w:val="null3"/>
                  </w:pPr>
                  <w:r>
                    <w:rPr>
                      <w:rFonts w:ascii="仿宋_GB2312" w:hAnsi="仿宋_GB2312" w:cs="仿宋_GB2312" w:eastAsia="仿宋_GB2312"/>
                      <w:sz w:val="15"/>
                      <w:color w:val="000000"/>
                    </w:rPr>
                    <w:t>2）阻燃I级</w:t>
                  </w:r>
                </w:p>
                <w:p>
                  <w:pPr>
                    <w:pStyle w:val="null3"/>
                  </w:pPr>
                  <w:r>
                    <w:rPr>
                      <w:rFonts w:ascii="仿宋_GB2312" w:hAnsi="仿宋_GB2312" w:cs="仿宋_GB2312" w:eastAsia="仿宋_GB2312"/>
                      <w:sz w:val="15"/>
                      <w:color w:val="000000"/>
                    </w:rPr>
                    <w:t>3）烟气毒性等级：达到ZA3级</w:t>
                  </w:r>
                </w:p>
                <w:p>
                  <w:pPr>
                    <w:pStyle w:val="null3"/>
                  </w:pPr>
                  <w:r>
                    <w:rPr>
                      <w:rFonts w:ascii="仿宋_GB2312" w:hAnsi="仿宋_GB2312" w:cs="仿宋_GB2312" w:eastAsia="仿宋_GB2312"/>
                      <w:sz w:val="15"/>
                      <w:color w:val="000000"/>
                    </w:rPr>
                    <w:t>4）有毒有害物质：甲醛与苯胺的低聚物 MDA：未检出</w:t>
                  </w:r>
                </w:p>
                <w:p>
                  <w:pPr>
                    <w:pStyle w:val="null3"/>
                    <w:jc w:val="left"/>
                  </w:pPr>
                  <w:r>
                    <w:rPr>
                      <w:rFonts w:ascii="仿宋_GB2312" w:hAnsi="仿宋_GB2312" w:cs="仿宋_GB2312" w:eastAsia="仿宋_GB2312"/>
                      <w:sz w:val="15"/>
                      <w:color w:val="000000"/>
                    </w:rPr>
                    <w:t>重要指标：</w:t>
                  </w:r>
                </w:p>
                <w:p>
                  <w:pPr>
                    <w:pStyle w:val="null3"/>
                    <w:jc w:val="left"/>
                  </w:pPr>
                  <w:r>
                    <w:rPr>
                      <w:rFonts w:ascii="仿宋_GB2312" w:hAnsi="仿宋_GB2312" w:cs="仿宋_GB2312" w:eastAsia="仿宋_GB2312"/>
                      <w:sz w:val="15"/>
                      <w:color w:val="000000"/>
                    </w:rPr>
                    <w:t>5）★产品减震吸收性能良好，孔隙率49.5%-59.5%。</w:t>
                  </w:r>
                </w:p>
                <w:p>
                  <w:pPr>
                    <w:pStyle w:val="null3"/>
                    <w:jc w:val="left"/>
                  </w:pPr>
                  <w:r>
                    <w:rPr>
                      <w:rFonts w:ascii="仿宋_GB2312" w:hAnsi="仿宋_GB2312" w:cs="仿宋_GB2312" w:eastAsia="仿宋_GB2312"/>
                      <w:sz w:val="15"/>
                      <w:color w:val="000000"/>
                    </w:rPr>
                    <w:t>6）★为保证产品的耐用性，产品应在盐雾沉降量（ml/80cm2/h）1.0~2.0的条件下酸性盐雾实验不低于2000h后，样品表面无明显变化，无起泡、无开裂、无剥落，拉伸强度变化率≤2%；尺寸变化率：横向≤0.04%，纵向≤0.04%，灰卡等级≥5级.</w:t>
                  </w:r>
                </w:p>
                <w:p>
                  <w:pPr>
                    <w:pStyle w:val="null3"/>
                    <w:jc w:val="left"/>
                  </w:pPr>
                  <w:r>
                    <w:rPr>
                      <w:rFonts w:ascii="仿宋_GB2312" w:hAnsi="仿宋_GB2312" w:cs="仿宋_GB2312" w:eastAsia="仿宋_GB2312"/>
                      <w:sz w:val="15"/>
                      <w:color w:val="000000"/>
                    </w:rPr>
                    <w:t>7）以上参数必须满足，需提供检测报告扫描件。标注★须提供具有CMA或CNAS标识的检测报告扫描件及其在全国认证认可信息公共服务平台查询截图，否则视为无效投标响应。</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112.5</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14</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温馨提示牌</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尺寸50cm</w:t>
                  </w:r>
                  <w:r>
                    <w:rPr>
                      <w:rFonts w:ascii="仿宋_GB2312" w:hAnsi="仿宋_GB2312" w:cs="仿宋_GB2312" w:eastAsia="仿宋_GB2312"/>
                      <w:sz w:val="15"/>
                      <w:color w:val="000000"/>
                    </w:rPr>
                    <w:t>×</w:t>
                  </w:r>
                  <w:r>
                    <w:rPr>
                      <w:rFonts w:ascii="仿宋_GB2312" w:hAnsi="仿宋_GB2312" w:cs="仿宋_GB2312" w:eastAsia="仿宋_GB2312"/>
                      <w:sz w:val="15"/>
                      <w:color w:val="000000"/>
                    </w:rPr>
                    <w:t>70cm；亚克力材质。将提示内容夹于其中，装订在室内墙面；具体内容另行提供。</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件</w:t>
                  </w:r>
                </w:p>
              </w:tc>
              <w:tc>
                <w:tcPr>
                  <w:tcW w:type="dxa" w:w="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bl>
          <w:p>
            <w:pPr>
              <w:pStyle w:val="null3"/>
            </w:pPr>
            <w:r>
              <w:rPr>
                <w:rFonts w:ascii="仿宋_GB2312" w:hAnsi="仿宋_GB2312" w:cs="仿宋_GB2312" w:eastAsia="仿宋_GB2312"/>
                <w:sz w:val="15"/>
              </w:rPr>
              <w:t>本标段核心产品： 电动跑步机 （需有合法来源渠道证明）</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标的名称：全民健身示范社区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0"/>
              <w:gridCol w:w="450"/>
              <w:gridCol w:w="1346"/>
              <w:gridCol w:w="199"/>
              <w:gridCol w:w="277"/>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序号</w:t>
                  </w:r>
                </w:p>
              </w:tc>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器材名称</w:t>
                  </w:r>
                </w:p>
              </w:tc>
              <w:tc>
                <w:tcPr>
                  <w:tcW w:type="dxa" w:w="1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color w:val="000000"/>
                    </w:rPr>
                    <w:t>技术参数</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单位</w:t>
                  </w:r>
                </w:p>
              </w:tc>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b/>
                      <w:color w:val="000000"/>
                    </w:rPr>
                    <w:t>数量</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棋牌桌</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符合GB19272-2011《室外健身器材的安全通用要求》并持有国家认证认可监督管理委员会批准具备体育用品认证资格的第三方认证机构依据GB19272-2011标准出具的认证证书；质保期8年。</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个</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8</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2</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骑马机</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符合GB19272-2011《室外健身器材的安全通用要求》并持有国家认证认可监督管理委员会批准具备体育用品认证资格的第三方认证机构依据GB19272-2011标准出具的认证证书；质保期8年。</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个</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3</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划船器</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符合GB19272-2011《室外健身器材的安全通用要求》并持有国家认证认可监督管理委员会批准具备体育用品认证资格的第三方认证机构依据GB19272-2011标准出具的认证证书；质保期8年。</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个</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4</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健身车</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符合GB19272-2011《室外健身器材的安全通用要求》并持有国家认证认可监督管理委员会批准具备体育用品认证资格的第三方认证机构依据GB19272-2011标准出具的认证证书；质保期8年。</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个</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5</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双联太空漫步机</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符合GB19272-2011《室外健身器材的安全通用要求》并持有国家认证认可监督管理委员会批准具备体育用品认证资格的第三方认证机构依据GB19272-2011标准出具的认证证书；质保期8年。</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个</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6</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二位蹬力器</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符合GB19272-2011《室外健身器材的安全通用要求》并持有国家认证认可监督管理委员会批准具备体育用品认证资格的第三方认证机构依据GB19272-2011标准出具的认证证书；质保期8年。</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个</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7</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椭圆机</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符合GB19272-2011《室外健身器材的安全通用要求》并持有国家认证认可监督管理委员会批准具备体育用品认证资格的第三方认证机构依据GB19272-2011标准出具的认证证书；质保期8年。</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个</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8</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移动羽毛球柱</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高度1.55米；采用铸铁配重；表面采用高温静电喷涂；羽柱底部设置有移动轮，方便移动，并配备羽毛球网1副。</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个</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2</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9</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儿童滑梯1</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功能用途：具有攀、爬、滑、钻等功能</w:t>
                  </w:r>
                </w:p>
                <w:p>
                  <w:pPr>
                    <w:pStyle w:val="null3"/>
                    <w:jc w:val="left"/>
                  </w:pPr>
                  <w:r>
                    <w:rPr>
                      <w:rFonts w:ascii="仿宋_GB2312" w:hAnsi="仿宋_GB2312" w:cs="仿宋_GB2312" w:eastAsia="仿宋_GB2312"/>
                      <w:sz w:val="15"/>
                      <w:color w:val="000000"/>
                    </w:rPr>
                    <w:t>技术要求：</w:t>
                  </w:r>
                </w:p>
                <w:p>
                  <w:pPr>
                    <w:pStyle w:val="null3"/>
                    <w:jc w:val="left"/>
                  </w:pPr>
                  <w:r>
                    <w:rPr>
                      <w:rFonts w:ascii="仿宋_GB2312" w:hAnsi="仿宋_GB2312" w:cs="仿宋_GB2312" w:eastAsia="仿宋_GB2312"/>
                      <w:sz w:val="15"/>
                      <w:color w:val="000000"/>
                    </w:rPr>
                    <w:t>1）</w:t>
                  </w:r>
                  <w:r>
                    <w:rPr>
                      <w:rFonts w:ascii="仿宋_GB2312" w:hAnsi="仿宋_GB2312" w:cs="仿宋_GB2312" w:eastAsia="仿宋_GB2312"/>
                      <w:sz w:val="15"/>
                      <w:color w:val="000000"/>
                    </w:rPr>
                    <w:t>安装后外形尺寸≥6000mm×4</w:t>
                  </w:r>
                  <w:r>
                    <w:rPr>
                      <w:rFonts w:ascii="仿宋_GB2312" w:hAnsi="仿宋_GB2312" w:cs="仿宋_GB2312" w:eastAsia="仿宋_GB2312"/>
                      <w:sz w:val="15"/>
                      <w:color w:val="000000"/>
                    </w:rPr>
                    <w:t>0</w:t>
                  </w:r>
                  <w:r>
                    <w:rPr>
                      <w:rFonts w:ascii="仿宋_GB2312" w:hAnsi="仿宋_GB2312" w:cs="仿宋_GB2312" w:eastAsia="仿宋_GB2312"/>
                      <w:sz w:val="15"/>
                      <w:color w:val="000000"/>
                    </w:rPr>
                    <w:t>00mm×</w:t>
                  </w:r>
                  <w:r>
                    <w:rPr>
                      <w:rFonts w:ascii="仿宋_GB2312" w:hAnsi="仿宋_GB2312" w:cs="仿宋_GB2312" w:eastAsia="仿宋_GB2312"/>
                      <w:sz w:val="15"/>
                      <w:color w:val="000000"/>
                    </w:rPr>
                    <w:t>50</w:t>
                  </w:r>
                  <w:r>
                    <w:rPr>
                      <w:rFonts w:ascii="仿宋_GB2312" w:hAnsi="仿宋_GB2312" w:cs="仿宋_GB2312" w:eastAsia="仿宋_GB2312"/>
                      <w:sz w:val="15"/>
                      <w:color w:val="000000"/>
                    </w:rPr>
                    <w:t>00mm；配有≥2个平台，滑梯数不少于2组，包括一组</w:t>
                  </w:r>
                  <w:r>
                    <w:rPr>
                      <w:rFonts w:ascii="仿宋_GB2312" w:hAnsi="仿宋_GB2312" w:cs="仿宋_GB2312" w:eastAsia="仿宋_GB2312"/>
                      <w:sz w:val="15"/>
                      <w:color w:val="000000"/>
                    </w:rPr>
                    <w:t>双人</w:t>
                  </w:r>
                  <w:r>
                    <w:rPr>
                      <w:rFonts w:ascii="仿宋_GB2312" w:hAnsi="仿宋_GB2312" w:cs="仿宋_GB2312" w:eastAsia="仿宋_GB2312"/>
                      <w:sz w:val="15"/>
                      <w:color w:val="000000"/>
                    </w:rPr>
                    <w:t>滑梯，一组S型滑梯，上道不少于2种，包括步梯、攀爬梯等；</w:t>
                  </w:r>
                  <w:r>
                    <w:rPr>
                      <w:rFonts w:ascii="仿宋_GB2312" w:hAnsi="仿宋_GB2312" w:cs="仿宋_GB2312" w:eastAsia="仿宋_GB2312"/>
                      <w:sz w:val="15"/>
                      <w:color w:val="000000"/>
                    </w:rPr>
                    <w:t>2)</w:t>
                  </w:r>
                  <w:r>
                    <w:rPr>
                      <w:rFonts w:ascii="仿宋_GB2312" w:hAnsi="仿宋_GB2312" w:cs="仿宋_GB2312" w:eastAsia="仿宋_GB2312"/>
                      <w:sz w:val="15"/>
                      <w:color w:val="000000"/>
                    </w:rPr>
                    <w:t>主立柱为镀锌管材质，表面聚酯系喷塑，尺寸≥φ114mm×2.0mm；各平台尺寸≥1100mm×1100mm，为厚度2.0mm冷轧钢板冲孔，不积水。</w:t>
                  </w:r>
                </w:p>
                <w:p>
                  <w:pPr>
                    <w:pStyle w:val="null3"/>
                    <w:jc w:val="left"/>
                  </w:pPr>
                  <w:r>
                    <w:rPr>
                      <w:rFonts w:ascii="仿宋_GB2312" w:hAnsi="仿宋_GB2312" w:cs="仿宋_GB2312" w:eastAsia="仿宋_GB2312"/>
                      <w:sz w:val="15"/>
                      <w:color w:val="000000"/>
                    </w:rPr>
                    <w:t>3)</w:t>
                  </w:r>
                  <w:r>
                    <w:rPr>
                      <w:rFonts w:ascii="仿宋_GB2312" w:hAnsi="仿宋_GB2312" w:cs="仿宋_GB2312" w:eastAsia="仿宋_GB2312"/>
                      <w:sz w:val="15"/>
                      <w:color w:val="000000"/>
                    </w:rPr>
                    <w:t>镀锌钢管附件外径28/32/38/48，厚2.0mm，表面经专用塑粉喷涂，烤漆，抗紫外光，色泽艳丽，不易脱落；</w:t>
                  </w:r>
                </w:p>
                <w:p>
                  <w:pPr>
                    <w:pStyle w:val="null3"/>
                    <w:jc w:val="left"/>
                  </w:pPr>
                  <w:r>
                    <w:rPr>
                      <w:rFonts w:ascii="仿宋_GB2312" w:hAnsi="仿宋_GB2312" w:cs="仿宋_GB2312" w:eastAsia="仿宋_GB2312"/>
                      <w:sz w:val="15"/>
                      <w:color w:val="000000"/>
                    </w:rPr>
                    <w:t>4)</w:t>
                  </w:r>
                  <w:r>
                    <w:rPr>
                      <w:rFonts w:ascii="仿宋_GB2312" w:hAnsi="仿宋_GB2312" w:cs="仿宋_GB2312" w:eastAsia="仿宋_GB2312"/>
                      <w:sz w:val="15"/>
                      <w:color w:val="000000"/>
                    </w:rPr>
                    <w:t>★</w:t>
                  </w:r>
                  <w:r>
                    <w:rPr>
                      <w:rFonts w:ascii="仿宋_GB2312" w:hAnsi="仿宋_GB2312" w:cs="仿宋_GB2312" w:eastAsia="仿宋_GB2312"/>
                      <w:sz w:val="15"/>
                      <w:color w:val="000000"/>
                    </w:rPr>
                    <w:t>镀锌钢管在弯曲角180°弯曲试验、中性盐雾测试检测合格，抗拉强度≥400MPa、断后伸长率≥20%，且化学成分C、S、Si、Mn、P、Cr、Ni、Mo、Cu、V、Co检测合格，检测依据GB/T 232 - 2024、GBT/228.1-2021、GB/T10125-2021、GB/T 20123-2006、GB/T 20125-2006标准。（注：提供具有CMA、CNAS标识的的镀锌钢管检测报告复印件加盖供应商公章佐证）</w:t>
                  </w:r>
                </w:p>
                <w:p>
                  <w:pPr>
                    <w:pStyle w:val="null3"/>
                    <w:jc w:val="left"/>
                  </w:pPr>
                  <w:r>
                    <w:rPr>
                      <w:rFonts w:ascii="仿宋_GB2312" w:hAnsi="仿宋_GB2312" w:cs="仿宋_GB2312" w:eastAsia="仿宋_GB2312"/>
                      <w:sz w:val="15"/>
                      <w:color w:val="000000"/>
                    </w:rPr>
                    <w:t>5)</w:t>
                  </w:r>
                  <w:r>
                    <w:rPr>
                      <w:rFonts w:ascii="仿宋_GB2312" w:hAnsi="仿宋_GB2312" w:cs="仿宋_GB2312" w:eastAsia="仿宋_GB2312"/>
                      <w:sz w:val="15"/>
                      <w:color w:val="000000"/>
                    </w:rPr>
                    <w:t>扣件、盖帽、脚盘采用高强度铝合金一次性铸造成形，边角圆滑，抛砂处理，表面喷涂户外环保聚酯粉末，光滑，抗紫外光，，耐腐蚀，色彩鲜艳，不易脱落；</w:t>
                  </w:r>
                </w:p>
                <w:p>
                  <w:pPr>
                    <w:pStyle w:val="null3"/>
                    <w:jc w:val="left"/>
                  </w:pPr>
                  <w:r>
                    <w:rPr>
                      <w:rFonts w:ascii="仿宋_GB2312" w:hAnsi="仿宋_GB2312" w:cs="仿宋_GB2312" w:eastAsia="仿宋_GB2312"/>
                      <w:sz w:val="15"/>
                      <w:color w:val="000000"/>
                    </w:rPr>
                    <w:t>6)</w:t>
                  </w:r>
                  <w:r>
                    <w:rPr>
                      <w:rFonts w:ascii="仿宋_GB2312" w:hAnsi="仿宋_GB2312" w:cs="仿宋_GB2312" w:eastAsia="仿宋_GB2312"/>
                      <w:sz w:val="15"/>
                      <w:color w:val="000000"/>
                    </w:rPr>
                    <w:t>塑料件采用 LLDPE 滚塑专用料经滚塑成形，塑料壁厚 6mm 以上，色彩艳丽，抗紫外光（UV）能力达到 8 级，食品级标准，抗静电，安全环保，耐候性好，强度高；</w:t>
                  </w:r>
                </w:p>
                <w:p>
                  <w:pPr>
                    <w:pStyle w:val="null3"/>
                    <w:jc w:val="left"/>
                  </w:pP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滑道的增塑剂（邻苯二甲酸酯）含量、二甲基甲酰胺含量、灰分含量、氯乙烯单体残留量、挥发性气体检测合格，检测依据GB/T 37866-2019标准。（注：提供具有CMA、CNAS标识的的滑道检测报告复印件加盖供应商公章佐证）</w:t>
                  </w:r>
                </w:p>
                <w:p>
                  <w:pPr>
                    <w:pStyle w:val="null3"/>
                    <w:jc w:val="left"/>
                  </w:pPr>
                  <w:r>
                    <w:rPr>
                      <w:rFonts w:ascii="仿宋_GB2312" w:hAnsi="仿宋_GB2312" w:cs="仿宋_GB2312" w:eastAsia="仿宋_GB2312"/>
                      <w:sz w:val="15"/>
                      <w:color w:val="000000"/>
                    </w:rPr>
                    <w:t>8)</w:t>
                  </w:r>
                  <w:r>
                    <w:rPr>
                      <w:rFonts w:ascii="仿宋_GB2312" w:hAnsi="仿宋_GB2312" w:cs="仿宋_GB2312" w:eastAsia="仿宋_GB2312"/>
                      <w:sz w:val="15"/>
                      <w:color w:val="000000"/>
                    </w:rPr>
                    <w:t>所有螺丝、五金件均采用不锈钢材质，耐腐蚀，不易生锈。</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个</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10</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儿童滑梯2</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功能用途：具有攀、爬、滑、钻等功能</w:t>
                  </w:r>
                </w:p>
                <w:p>
                  <w:pPr>
                    <w:pStyle w:val="null3"/>
                    <w:jc w:val="left"/>
                  </w:pPr>
                  <w:r>
                    <w:rPr>
                      <w:rFonts w:ascii="仿宋_GB2312" w:hAnsi="仿宋_GB2312" w:cs="仿宋_GB2312" w:eastAsia="仿宋_GB2312"/>
                      <w:sz w:val="15"/>
                      <w:color w:val="000000"/>
                    </w:rPr>
                    <w:t>技术要求：</w:t>
                  </w:r>
                </w:p>
                <w:p>
                  <w:pPr>
                    <w:pStyle w:val="null3"/>
                    <w:jc w:val="left"/>
                  </w:pPr>
                  <w:r>
                    <w:rPr>
                      <w:rFonts w:ascii="仿宋_GB2312" w:hAnsi="仿宋_GB2312" w:cs="仿宋_GB2312" w:eastAsia="仿宋_GB2312"/>
                      <w:sz w:val="15"/>
                      <w:color w:val="000000"/>
                    </w:rPr>
                    <w:t>1)</w:t>
                  </w:r>
                  <w:r>
                    <w:rPr>
                      <w:rFonts w:ascii="仿宋_GB2312" w:hAnsi="仿宋_GB2312" w:cs="仿宋_GB2312" w:eastAsia="仿宋_GB2312"/>
                      <w:sz w:val="15"/>
                      <w:color w:val="000000"/>
                    </w:rPr>
                    <w:t>安装后外形尺寸≥</w:t>
                  </w:r>
                  <w:r>
                    <w:rPr>
                      <w:rFonts w:ascii="仿宋_GB2312" w:hAnsi="仿宋_GB2312" w:cs="仿宋_GB2312" w:eastAsia="仿宋_GB2312"/>
                      <w:sz w:val="15"/>
                      <w:color w:val="000000"/>
                    </w:rPr>
                    <w:t>9</w:t>
                  </w:r>
                  <w:r>
                    <w:rPr>
                      <w:rFonts w:ascii="仿宋_GB2312" w:hAnsi="仿宋_GB2312" w:cs="仿宋_GB2312" w:eastAsia="仿宋_GB2312"/>
                      <w:sz w:val="15"/>
                      <w:color w:val="000000"/>
                    </w:rPr>
                    <w:t>000mm×</w:t>
                  </w:r>
                  <w:r>
                    <w:rPr>
                      <w:rFonts w:ascii="仿宋_GB2312" w:hAnsi="仿宋_GB2312" w:cs="仿宋_GB2312" w:eastAsia="仿宋_GB2312"/>
                      <w:sz w:val="15"/>
                      <w:color w:val="000000"/>
                    </w:rPr>
                    <w:t>6000</w:t>
                  </w:r>
                  <w:r>
                    <w:rPr>
                      <w:rFonts w:ascii="仿宋_GB2312" w:hAnsi="仿宋_GB2312" w:cs="仿宋_GB2312" w:eastAsia="仿宋_GB2312"/>
                      <w:sz w:val="15"/>
                      <w:color w:val="000000"/>
                    </w:rPr>
                    <w:t>mm×</w:t>
                  </w:r>
                  <w:r>
                    <w:rPr>
                      <w:rFonts w:ascii="仿宋_GB2312" w:hAnsi="仿宋_GB2312" w:cs="仿宋_GB2312" w:eastAsia="仿宋_GB2312"/>
                      <w:sz w:val="15"/>
                      <w:color w:val="000000"/>
                    </w:rPr>
                    <w:t>45</w:t>
                  </w:r>
                  <w:r>
                    <w:rPr>
                      <w:rFonts w:ascii="仿宋_GB2312" w:hAnsi="仿宋_GB2312" w:cs="仿宋_GB2312" w:eastAsia="仿宋_GB2312"/>
                      <w:sz w:val="15"/>
                      <w:color w:val="000000"/>
                    </w:rPr>
                    <w:t>00mm；配有≥</w:t>
                  </w:r>
                  <w:r>
                    <w:rPr>
                      <w:rFonts w:ascii="仿宋_GB2312" w:hAnsi="仿宋_GB2312" w:cs="仿宋_GB2312" w:eastAsia="仿宋_GB2312"/>
                      <w:sz w:val="15"/>
                      <w:color w:val="000000"/>
                    </w:rPr>
                    <w:t>3</w:t>
                  </w:r>
                  <w:r>
                    <w:rPr>
                      <w:rFonts w:ascii="仿宋_GB2312" w:hAnsi="仿宋_GB2312" w:cs="仿宋_GB2312" w:eastAsia="仿宋_GB2312"/>
                      <w:sz w:val="15"/>
                      <w:color w:val="000000"/>
                    </w:rPr>
                    <w:t>个平台，滑梯数不少于</w:t>
                  </w:r>
                  <w:r>
                    <w:rPr>
                      <w:rFonts w:ascii="仿宋_GB2312" w:hAnsi="仿宋_GB2312" w:cs="仿宋_GB2312" w:eastAsia="仿宋_GB2312"/>
                      <w:sz w:val="15"/>
                      <w:color w:val="000000"/>
                    </w:rPr>
                    <w:t>3</w:t>
                  </w:r>
                  <w:r>
                    <w:rPr>
                      <w:rFonts w:ascii="仿宋_GB2312" w:hAnsi="仿宋_GB2312" w:cs="仿宋_GB2312" w:eastAsia="仿宋_GB2312"/>
                      <w:sz w:val="15"/>
                      <w:color w:val="000000"/>
                    </w:rPr>
                    <w:t>组，包括一组</w:t>
                  </w:r>
                  <w:r>
                    <w:rPr>
                      <w:rFonts w:ascii="仿宋_GB2312" w:hAnsi="仿宋_GB2312" w:cs="仿宋_GB2312" w:eastAsia="仿宋_GB2312"/>
                      <w:sz w:val="15"/>
                      <w:color w:val="000000"/>
                    </w:rPr>
                    <w:t>双人</w:t>
                  </w:r>
                  <w:r>
                    <w:rPr>
                      <w:rFonts w:ascii="仿宋_GB2312" w:hAnsi="仿宋_GB2312" w:cs="仿宋_GB2312" w:eastAsia="仿宋_GB2312"/>
                      <w:sz w:val="15"/>
                      <w:color w:val="000000"/>
                    </w:rPr>
                    <w:t>滑梯，</w:t>
                  </w:r>
                  <w:r>
                    <w:rPr>
                      <w:rFonts w:ascii="仿宋_GB2312" w:hAnsi="仿宋_GB2312" w:cs="仿宋_GB2312" w:eastAsia="仿宋_GB2312"/>
                      <w:sz w:val="15"/>
                      <w:color w:val="000000"/>
                    </w:rPr>
                    <w:t>二</w:t>
                  </w:r>
                  <w:r>
                    <w:rPr>
                      <w:rFonts w:ascii="仿宋_GB2312" w:hAnsi="仿宋_GB2312" w:cs="仿宋_GB2312" w:eastAsia="仿宋_GB2312"/>
                      <w:sz w:val="15"/>
                      <w:color w:val="000000"/>
                    </w:rPr>
                    <w:t>组</w:t>
                  </w:r>
                  <w:r>
                    <w:rPr>
                      <w:rFonts w:ascii="仿宋_GB2312" w:hAnsi="仿宋_GB2312" w:cs="仿宋_GB2312" w:eastAsia="仿宋_GB2312"/>
                      <w:sz w:val="15"/>
                      <w:color w:val="000000"/>
                    </w:rPr>
                    <w:t>单人</w:t>
                  </w:r>
                  <w:r>
                    <w:rPr>
                      <w:rFonts w:ascii="仿宋_GB2312" w:hAnsi="仿宋_GB2312" w:cs="仿宋_GB2312" w:eastAsia="仿宋_GB2312"/>
                      <w:sz w:val="15"/>
                      <w:color w:val="000000"/>
                    </w:rPr>
                    <w:t>滑梯</w:t>
                  </w:r>
                  <w:r>
                    <w:rPr>
                      <w:rFonts w:ascii="仿宋_GB2312" w:hAnsi="仿宋_GB2312" w:cs="仿宋_GB2312" w:eastAsia="仿宋_GB2312"/>
                      <w:sz w:val="15"/>
                      <w:color w:val="000000"/>
                    </w:rPr>
                    <w:t>，</w:t>
                  </w:r>
                  <w:r>
                    <w:rPr>
                      <w:rFonts w:ascii="仿宋_GB2312" w:hAnsi="仿宋_GB2312" w:cs="仿宋_GB2312" w:eastAsia="仿宋_GB2312"/>
                      <w:sz w:val="15"/>
                      <w:color w:val="000000"/>
                    </w:rPr>
                    <w:t>一组S型滑梯，上道不少于</w:t>
                  </w:r>
                  <w:r>
                    <w:rPr>
                      <w:rFonts w:ascii="仿宋_GB2312" w:hAnsi="仿宋_GB2312" w:cs="仿宋_GB2312" w:eastAsia="仿宋_GB2312"/>
                      <w:sz w:val="15"/>
                      <w:color w:val="000000"/>
                    </w:rPr>
                    <w:t>3</w:t>
                  </w:r>
                  <w:r>
                    <w:rPr>
                      <w:rFonts w:ascii="仿宋_GB2312" w:hAnsi="仿宋_GB2312" w:cs="仿宋_GB2312" w:eastAsia="仿宋_GB2312"/>
                      <w:sz w:val="15"/>
                      <w:color w:val="000000"/>
                    </w:rPr>
                    <w:t>种，包括步梯、攀爬梯等；</w:t>
                  </w:r>
                </w:p>
                <w:p>
                  <w:pPr>
                    <w:pStyle w:val="null3"/>
                    <w:jc w:val="left"/>
                  </w:pPr>
                  <w:r>
                    <w:rPr>
                      <w:rFonts w:ascii="仿宋_GB2312" w:hAnsi="仿宋_GB2312" w:cs="仿宋_GB2312" w:eastAsia="仿宋_GB2312"/>
                      <w:sz w:val="15"/>
                      <w:color w:val="000000"/>
                    </w:rPr>
                    <w:t>2)</w:t>
                  </w:r>
                  <w:r>
                    <w:rPr>
                      <w:rFonts w:ascii="仿宋_GB2312" w:hAnsi="仿宋_GB2312" w:cs="仿宋_GB2312" w:eastAsia="仿宋_GB2312"/>
                      <w:sz w:val="15"/>
                      <w:color w:val="000000"/>
                    </w:rPr>
                    <w:t>主立柱为镀锌管材质，表面聚酯系喷塑，尺寸≥φ114mm×2.0mm；各平台尺寸≥1100mm×1100mm，为厚度2.0mm冷轧钢板冲孔，不积水。</w:t>
                  </w:r>
                </w:p>
                <w:p>
                  <w:pPr>
                    <w:pStyle w:val="null3"/>
                    <w:jc w:val="left"/>
                  </w:pPr>
                  <w:r>
                    <w:rPr>
                      <w:rFonts w:ascii="仿宋_GB2312" w:hAnsi="仿宋_GB2312" w:cs="仿宋_GB2312" w:eastAsia="仿宋_GB2312"/>
                      <w:sz w:val="15"/>
                      <w:color w:val="000000"/>
                    </w:rPr>
                    <w:t>3)</w:t>
                  </w:r>
                  <w:r>
                    <w:rPr>
                      <w:rFonts w:ascii="仿宋_GB2312" w:hAnsi="仿宋_GB2312" w:cs="仿宋_GB2312" w:eastAsia="仿宋_GB2312"/>
                      <w:sz w:val="15"/>
                      <w:color w:val="000000"/>
                    </w:rPr>
                    <w:t>镀锌钢管附件外径28/32/38/48，厚2.0mm，表面经专用塑粉喷涂，烤漆，抗紫外光，色泽艳丽，不易脱落；</w:t>
                  </w:r>
                </w:p>
                <w:p>
                  <w:pPr>
                    <w:pStyle w:val="null3"/>
                    <w:jc w:val="left"/>
                  </w:pPr>
                  <w:r>
                    <w:rPr>
                      <w:rFonts w:ascii="仿宋_GB2312" w:hAnsi="仿宋_GB2312" w:cs="仿宋_GB2312" w:eastAsia="仿宋_GB2312"/>
                      <w:sz w:val="15"/>
                      <w:color w:val="000000"/>
                    </w:rPr>
                    <w:t>4)</w:t>
                  </w:r>
                  <w:r>
                    <w:rPr>
                      <w:rFonts w:ascii="仿宋_GB2312" w:hAnsi="仿宋_GB2312" w:cs="仿宋_GB2312" w:eastAsia="仿宋_GB2312"/>
                      <w:sz w:val="15"/>
                      <w:color w:val="000000"/>
                    </w:rPr>
                    <w:t>★</w:t>
                  </w:r>
                  <w:r>
                    <w:rPr>
                      <w:rFonts w:ascii="仿宋_GB2312" w:hAnsi="仿宋_GB2312" w:cs="仿宋_GB2312" w:eastAsia="仿宋_GB2312"/>
                      <w:sz w:val="15"/>
                      <w:color w:val="000000"/>
                    </w:rPr>
                    <w:t>镀锌钢管在弯曲角180°弯曲试验、中性盐雾测试检测合格，抗拉强度≥400MPa、断后伸长率≥20%，且化学成分C、S、Si、Mn、P、Cr、Ni、Mo、Cu、V、Co检测合格，检测依据GB/T 232 - 2024、GBT/228.1-2021、GB/T10125-2021、GB/T 20123-2006、GB/T 20125-2006标准。（注：提供具有CMA、CNAS标识的的镀锌钢管检测报告复印件加盖供应商公章佐证）</w:t>
                  </w:r>
                </w:p>
                <w:p>
                  <w:pPr>
                    <w:pStyle w:val="null3"/>
                    <w:jc w:val="left"/>
                  </w:pPr>
                  <w:r>
                    <w:rPr>
                      <w:rFonts w:ascii="仿宋_GB2312" w:hAnsi="仿宋_GB2312" w:cs="仿宋_GB2312" w:eastAsia="仿宋_GB2312"/>
                      <w:sz w:val="15"/>
                      <w:color w:val="000000"/>
                    </w:rPr>
                    <w:t>5)</w:t>
                  </w:r>
                  <w:r>
                    <w:rPr>
                      <w:rFonts w:ascii="仿宋_GB2312" w:hAnsi="仿宋_GB2312" w:cs="仿宋_GB2312" w:eastAsia="仿宋_GB2312"/>
                      <w:sz w:val="15"/>
                      <w:color w:val="000000"/>
                    </w:rPr>
                    <w:t>扣件、盖帽、脚盘采用高强度铝合金一次性铸造成形，边角圆滑，抛砂处理，表面喷涂户外环保聚酯粉末，光滑，抗紫外光，，耐腐蚀，色彩鲜艳，不易脱落；</w:t>
                  </w:r>
                </w:p>
                <w:p>
                  <w:pPr>
                    <w:pStyle w:val="null3"/>
                    <w:jc w:val="left"/>
                  </w:pPr>
                  <w:r>
                    <w:rPr>
                      <w:rFonts w:ascii="仿宋_GB2312" w:hAnsi="仿宋_GB2312" w:cs="仿宋_GB2312" w:eastAsia="仿宋_GB2312"/>
                      <w:sz w:val="15"/>
                      <w:color w:val="000000"/>
                    </w:rPr>
                    <w:t>6)</w:t>
                  </w:r>
                  <w:r>
                    <w:rPr>
                      <w:rFonts w:ascii="仿宋_GB2312" w:hAnsi="仿宋_GB2312" w:cs="仿宋_GB2312" w:eastAsia="仿宋_GB2312"/>
                      <w:sz w:val="15"/>
                      <w:color w:val="000000"/>
                    </w:rPr>
                    <w:t>塑料件采用 LLDPE 滚塑专用料经滚塑成形，塑料壁厚 6mm 以上，色彩艳丽，抗紫外光（UV）能力达到 8 级，食品级标准，抗静电，安全环保，耐候性好，强度高；</w:t>
                  </w:r>
                </w:p>
                <w:p>
                  <w:pPr>
                    <w:pStyle w:val="null3"/>
                    <w:jc w:val="left"/>
                  </w:pPr>
                  <w:r>
                    <w:rPr>
                      <w:rFonts w:ascii="仿宋_GB2312" w:hAnsi="仿宋_GB2312" w:cs="仿宋_GB2312" w:eastAsia="仿宋_GB2312"/>
                      <w:sz w:val="15"/>
                      <w:color w:val="000000"/>
                    </w:rPr>
                    <w:t>7)</w:t>
                  </w:r>
                  <w:r>
                    <w:rPr>
                      <w:rFonts w:ascii="仿宋_GB2312" w:hAnsi="仿宋_GB2312" w:cs="仿宋_GB2312" w:eastAsia="仿宋_GB2312"/>
                      <w:sz w:val="15"/>
                      <w:color w:val="000000"/>
                    </w:rPr>
                    <w:t>★</w:t>
                  </w:r>
                  <w:r>
                    <w:rPr>
                      <w:rFonts w:ascii="仿宋_GB2312" w:hAnsi="仿宋_GB2312" w:cs="仿宋_GB2312" w:eastAsia="仿宋_GB2312"/>
                      <w:sz w:val="15"/>
                      <w:color w:val="000000"/>
                    </w:rPr>
                    <w:t>滑道的增塑剂（邻苯二甲酸酯）含量、二甲基甲酰胺含量、灰分含量、氯乙烯单体残留量、挥发性气体检测合格，检测依据GB/T 37866-2019标准。（注：提供具有CMA、CNAS标识的的滑道检测报告复印件加盖供应商公章佐证）</w:t>
                  </w:r>
                </w:p>
                <w:p>
                  <w:pPr>
                    <w:pStyle w:val="null3"/>
                    <w:jc w:val="left"/>
                  </w:pPr>
                  <w:r>
                    <w:rPr>
                      <w:rFonts w:ascii="仿宋_GB2312" w:hAnsi="仿宋_GB2312" w:cs="仿宋_GB2312" w:eastAsia="仿宋_GB2312"/>
                      <w:sz w:val="15"/>
                      <w:color w:val="000000"/>
                    </w:rPr>
                    <w:t>8)</w:t>
                  </w:r>
                  <w:r>
                    <w:rPr>
                      <w:rFonts w:ascii="仿宋_GB2312" w:hAnsi="仿宋_GB2312" w:cs="仿宋_GB2312" w:eastAsia="仿宋_GB2312"/>
                      <w:sz w:val="15"/>
                      <w:color w:val="000000"/>
                    </w:rPr>
                    <w:t>所有螺丝、五金件均采用不锈钢材质，耐腐蚀，不易生锈。</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个</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11</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摇摇</w:t>
                  </w:r>
                  <w:r>
                    <w:rPr>
                      <w:rFonts w:ascii="仿宋_GB2312" w:hAnsi="仿宋_GB2312" w:cs="仿宋_GB2312" w:eastAsia="仿宋_GB2312"/>
                      <w:sz w:val="15"/>
                      <w:color w:val="000000"/>
                    </w:rPr>
                    <w:t>乐</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器材外观</w:t>
                  </w:r>
                  <w:r>
                    <w:rPr>
                      <w:rFonts w:ascii="仿宋_GB2312" w:hAnsi="仿宋_GB2312" w:cs="仿宋_GB2312" w:eastAsia="仿宋_GB2312"/>
                      <w:sz w:val="15"/>
                      <w:color w:val="000000"/>
                    </w:rPr>
                    <w:t>造型不少于5种</w:t>
                  </w:r>
                  <w:r>
                    <w:rPr>
                      <w:rFonts w:ascii="仿宋_GB2312" w:hAnsi="仿宋_GB2312" w:cs="仿宋_GB2312" w:eastAsia="仿宋_GB2312"/>
                      <w:sz w:val="15"/>
                      <w:color w:val="000000"/>
                    </w:rPr>
                    <w:t>；材质为钢制结构，PE塑料板；安装后尺寸为：≥</w:t>
                  </w:r>
                  <w:r>
                    <w:rPr>
                      <w:rFonts w:ascii="仿宋_GB2312" w:hAnsi="仿宋_GB2312" w:cs="仿宋_GB2312" w:eastAsia="仿宋_GB2312"/>
                      <w:sz w:val="15"/>
                      <w:color w:val="000000"/>
                    </w:rPr>
                    <w:t>50</w:t>
                  </w:r>
                  <w:r>
                    <w:rPr>
                      <w:rFonts w:ascii="仿宋_GB2312" w:hAnsi="仿宋_GB2312" w:cs="仿宋_GB2312" w:eastAsia="仿宋_GB2312"/>
                      <w:sz w:val="15"/>
                      <w:color w:val="000000"/>
                    </w:rPr>
                    <w:t>0mm×</w:t>
                  </w:r>
                  <w:r>
                    <w:rPr>
                      <w:rFonts w:ascii="仿宋_GB2312" w:hAnsi="仿宋_GB2312" w:cs="仿宋_GB2312" w:eastAsia="仿宋_GB2312"/>
                      <w:sz w:val="15"/>
                      <w:color w:val="000000"/>
                    </w:rPr>
                    <w:t>2</w:t>
                  </w:r>
                  <w:r>
                    <w:rPr>
                      <w:rFonts w:ascii="仿宋_GB2312" w:hAnsi="仿宋_GB2312" w:cs="仿宋_GB2312" w:eastAsia="仿宋_GB2312"/>
                      <w:sz w:val="15"/>
                      <w:color w:val="000000"/>
                    </w:rPr>
                    <w:t>50mm×</w:t>
                  </w:r>
                  <w:r>
                    <w:rPr>
                      <w:rFonts w:ascii="仿宋_GB2312" w:hAnsi="仿宋_GB2312" w:cs="仿宋_GB2312" w:eastAsia="仿宋_GB2312"/>
                      <w:sz w:val="15"/>
                      <w:color w:val="000000"/>
                    </w:rPr>
                    <w:t>60</w:t>
                  </w:r>
                  <w:r>
                    <w:rPr>
                      <w:rFonts w:ascii="仿宋_GB2312" w:hAnsi="仿宋_GB2312" w:cs="仿宋_GB2312" w:eastAsia="仿宋_GB2312"/>
                      <w:sz w:val="15"/>
                      <w:color w:val="000000"/>
                    </w:rPr>
                    <w:t>0mm；弹簧≥20mm的管径，底座厚度≥5mm。器材须直接安装地面，膨胀螺丝固定或预埋件连接。</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个</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20</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12</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国民体质检测一体机</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color w:val="000000"/>
                    </w:rPr>
                    <w:t>产品规格：不大于2500mm（长）*1800mm（宽）* 2700mm（高）；配置触摸显示屏：每块屏幕尺寸不小于10英寸；占地面积：不大于5平方米；</w:t>
                  </w:r>
                </w:p>
                <w:p>
                  <w:pPr>
                    <w:pStyle w:val="null3"/>
                    <w:jc w:val="left"/>
                  </w:pP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支持身份证注册，应支持身份证、二维码、身份证号码、手机号码；应支持游客模式使用功能；</w:t>
                  </w:r>
                </w:p>
                <w:p>
                  <w:pPr>
                    <w:pStyle w:val="null3"/>
                    <w:jc w:val="left"/>
                  </w:pP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color w:val="000000"/>
                    </w:rPr>
                    <w:t>持数据实时上传、查询当前报告和历史报告等功能；具有报告打印功能，支持A4打印测试报告。</w:t>
                  </w:r>
                </w:p>
                <w:p>
                  <w:pPr>
                    <w:pStyle w:val="null3"/>
                    <w:jc w:val="left"/>
                  </w:pPr>
                  <w:r>
                    <w:rPr>
                      <w:rFonts w:ascii="仿宋_GB2312" w:hAnsi="仿宋_GB2312" w:cs="仿宋_GB2312" w:eastAsia="仿宋_GB2312"/>
                      <w:sz w:val="15"/>
                      <w:color w:val="000000"/>
                    </w:rPr>
                    <w:t>4)</w:t>
                  </w:r>
                  <w:r>
                    <w:rPr>
                      <w:rFonts w:ascii="仿宋_GB2312" w:hAnsi="仿宋_GB2312" w:cs="仿宋_GB2312" w:eastAsia="仿宋_GB2312"/>
                      <w:sz w:val="15"/>
                      <w:color w:val="000000"/>
                    </w:rPr>
                    <w:t>★</w:t>
                  </w:r>
                  <w:r>
                    <w:rPr>
                      <w:rFonts w:ascii="仿宋_GB2312" w:hAnsi="仿宋_GB2312" w:cs="仿宋_GB2312" w:eastAsia="仿宋_GB2312"/>
                      <w:sz w:val="15"/>
                      <w:color w:val="000000"/>
                    </w:rPr>
                    <w:t>具体包括以下测试项目：身高、体重、人体成份(体脂率、人体水分，脂肪，肌肉，骨量等)和血压测试、心率测量功能；肺活量、2分钟原地高抬腿；握力、纵跳、俯卧撑（男）/跪卧撑（女）、功率车二级负荷试验测试、1分钟仰卧起坐、坐位体前屈、闭眼单脚站立、选择反应时、30秒坐站；</w:t>
                  </w:r>
                </w:p>
                <w:p>
                  <w:pPr>
                    <w:pStyle w:val="null3"/>
                    <w:jc w:val="left"/>
                  </w:pPr>
                  <w:r>
                    <w:rPr>
                      <w:rFonts w:ascii="仿宋_GB2312" w:hAnsi="仿宋_GB2312" w:cs="仿宋_GB2312" w:eastAsia="仿宋_GB2312"/>
                      <w:sz w:val="15"/>
                      <w:color w:val="000000"/>
                    </w:rPr>
                    <w:t>5)</w:t>
                  </w:r>
                  <w:r>
                    <w:rPr>
                      <w:rFonts w:ascii="仿宋_GB2312" w:hAnsi="仿宋_GB2312" w:cs="仿宋_GB2312" w:eastAsia="仿宋_GB2312"/>
                      <w:sz w:val="15"/>
                      <w:color w:val="000000"/>
                    </w:rPr>
                    <w:t>★</w:t>
                  </w:r>
                  <w:r>
                    <w:rPr>
                      <w:rFonts w:ascii="仿宋_GB2312" w:hAnsi="仿宋_GB2312" w:cs="仿宋_GB2312" w:eastAsia="仿宋_GB2312"/>
                      <w:sz w:val="15"/>
                      <w:color w:val="000000"/>
                    </w:rPr>
                    <w:t>应内</w:t>
                  </w:r>
                  <w:r>
                    <w:rPr>
                      <w:rFonts w:ascii="仿宋_GB2312" w:hAnsi="仿宋_GB2312" w:cs="仿宋_GB2312" w:eastAsia="仿宋_GB2312"/>
                      <w:sz w:val="15"/>
                      <w:color w:val="000000"/>
                    </w:rPr>
                    <w:t>包括测试项目：</w:t>
                  </w:r>
                  <w:r>
                    <w:rPr>
                      <w:rFonts w:ascii="仿宋_GB2312" w:hAnsi="仿宋_GB2312" w:cs="仿宋_GB2312" w:eastAsia="仿宋_GB2312"/>
                      <w:sz w:val="15"/>
                      <w:color w:val="000000"/>
                    </w:rPr>
                    <w:t>俯卧撑/跪卧撑、1分钟仰卧起坐、30秒坐站、2分钟原地高抬腿、纵跳、坐位体前屈等动作计数类项目</w:t>
                  </w:r>
                  <w:r>
                    <w:rPr>
                      <w:rFonts w:ascii="仿宋_GB2312" w:hAnsi="仿宋_GB2312" w:cs="仿宋_GB2312" w:eastAsia="仿宋_GB2312"/>
                      <w:sz w:val="15"/>
                      <w:color w:val="000000"/>
                    </w:rPr>
                    <w:t>。</w:t>
                  </w:r>
                </w:p>
                <w:p>
                  <w:pPr>
                    <w:pStyle w:val="null3"/>
                    <w:jc w:val="left"/>
                  </w:pPr>
                  <w:r>
                    <w:rPr>
                      <w:rFonts w:ascii="仿宋_GB2312" w:hAnsi="仿宋_GB2312" w:cs="仿宋_GB2312" w:eastAsia="仿宋_GB2312"/>
                      <w:sz w:val="15"/>
                      <w:color w:val="000000"/>
                    </w:rPr>
                    <w:t>6）体测全程中应有语音和视频引导，可进行常态化自助进行体质检测；</w:t>
                  </w:r>
                </w:p>
                <w:p>
                  <w:pPr>
                    <w:pStyle w:val="null3"/>
                    <w:jc w:val="left"/>
                  </w:pPr>
                  <w:r>
                    <w:rPr>
                      <w:rFonts w:ascii="仿宋_GB2312" w:hAnsi="仿宋_GB2312" w:cs="仿宋_GB2312" w:eastAsia="仿宋_GB2312"/>
                      <w:sz w:val="15"/>
                      <w:color w:val="000000"/>
                    </w:rPr>
                    <w:t>7）全自动采集体测数据，测试数据实时上传，可打印和查询体测报告；提供数据管理平台，查看国民体质检测数据分析报表；提供数据接口，可集成到第三方数据平台；</w:t>
                  </w:r>
                </w:p>
                <w:p>
                  <w:pPr>
                    <w:pStyle w:val="null3"/>
                    <w:jc w:val="left"/>
                  </w:pPr>
                  <w:r>
                    <w:rPr>
                      <w:rFonts w:ascii="仿宋_GB2312" w:hAnsi="仿宋_GB2312" w:cs="仿宋_GB2312" w:eastAsia="仿宋_GB2312"/>
                      <w:sz w:val="15"/>
                      <w:color w:val="000000"/>
                    </w:rPr>
                    <w:t>8）能根据体测数据为用户开出健身改善指导方案；具有个人体测数据的对比及趋势分析功能，用户可通过微信客户端进行查看；</w:t>
                  </w:r>
                </w:p>
                <w:p>
                  <w:pPr>
                    <w:pStyle w:val="null3"/>
                    <w:jc w:val="left"/>
                  </w:pPr>
                  <w:r>
                    <w:rPr>
                      <w:rFonts w:ascii="仿宋_GB2312" w:hAnsi="仿宋_GB2312" w:cs="仿宋_GB2312" w:eastAsia="仿宋_GB2312"/>
                      <w:sz w:val="15"/>
                      <w:color w:val="000000"/>
                    </w:rPr>
                    <w:t>9）应具备开机初始化自检及测试项目自动标定功能；联网状态下，系统应检测系统新版本并可升级；</w:t>
                  </w:r>
                </w:p>
                <w:p>
                  <w:pPr>
                    <w:pStyle w:val="null3"/>
                    <w:jc w:val="left"/>
                  </w:pPr>
                  <w:r>
                    <w:rPr>
                      <w:rFonts w:ascii="仿宋_GB2312" w:hAnsi="仿宋_GB2312" w:cs="仿宋_GB2312" w:eastAsia="仿宋_GB2312"/>
                      <w:sz w:val="15"/>
                      <w:color w:val="000000"/>
                    </w:rPr>
                    <w:t>10）血压测试</w:t>
                  </w:r>
                  <w:r>
                    <w:rPr>
                      <w:rFonts w:ascii="仿宋_GB2312" w:hAnsi="仿宋_GB2312" w:cs="仿宋_GB2312" w:eastAsia="仿宋_GB2312"/>
                      <w:sz w:val="15"/>
                      <w:color w:val="000000"/>
                    </w:rPr>
                    <w:t>：</w:t>
                  </w:r>
                  <w:r>
                    <w:rPr>
                      <w:rFonts w:ascii="仿宋_GB2312" w:hAnsi="仿宋_GB2312" w:cs="仿宋_GB2312" w:eastAsia="仿宋_GB2312"/>
                      <w:sz w:val="15"/>
                      <w:color w:val="000000"/>
                    </w:rPr>
                    <w:t>测量位置：左右臂均可测量</w:t>
                  </w:r>
                </w:p>
                <w:p>
                  <w:pPr>
                    <w:pStyle w:val="null3"/>
                    <w:jc w:val="left"/>
                  </w:pPr>
                  <w:r>
                    <w:rPr>
                      <w:rFonts w:ascii="仿宋_GB2312" w:hAnsi="仿宋_GB2312" w:cs="仿宋_GB2312" w:eastAsia="仿宋_GB2312"/>
                      <w:sz w:val="15"/>
                      <w:color w:val="000000"/>
                    </w:rPr>
                    <w:t>压力监测：高精密半导体压力传感器加压：压力泵自动加压方式；减压：线性电磁控制阀自动减压系统；超压保护：压力超过300mmHg时，急速排气保护；急速排气时间不大于10秒；</w:t>
                  </w:r>
                </w:p>
                <w:p>
                  <w:pPr>
                    <w:pStyle w:val="null3"/>
                    <w:jc w:val="left"/>
                  </w:pPr>
                  <w:r>
                    <w:rPr>
                      <w:rFonts w:ascii="仿宋_GB2312" w:hAnsi="仿宋_GB2312" w:cs="仿宋_GB2312" w:eastAsia="仿宋_GB2312"/>
                      <w:sz w:val="15"/>
                      <w:color w:val="000000"/>
                    </w:rPr>
                    <w:t>11）</w:t>
                  </w:r>
                  <w:r>
                    <w:rPr>
                      <w:rFonts w:ascii="仿宋_GB2312" w:hAnsi="仿宋_GB2312" w:cs="仿宋_GB2312" w:eastAsia="仿宋_GB2312"/>
                      <w:sz w:val="15"/>
                      <w:color w:val="000000"/>
                    </w:rPr>
                    <w:t>★</w:t>
                  </w:r>
                  <w:r>
                    <w:rPr>
                      <w:rFonts w:ascii="仿宋_GB2312" w:hAnsi="仿宋_GB2312" w:cs="仿宋_GB2312" w:eastAsia="仿宋_GB2312"/>
                      <w:sz w:val="15"/>
                      <w:color w:val="000000"/>
                    </w:rPr>
                    <w:t>二</w:t>
                  </w:r>
                  <w:r>
                    <w:rPr>
                      <w:rFonts w:ascii="仿宋_GB2312" w:hAnsi="仿宋_GB2312" w:cs="仿宋_GB2312" w:eastAsia="仿宋_GB2312"/>
                      <w:sz w:val="15"/>
                      <w:color w:val="000000"/>
                    </w:rPr>
                    <w:t>级功率负荷测试</w:t>
                  </w:r>
                  <w:r>
                    <w:rPr>
                      <w:rFonts w:ascii="仿宋_GB2312" w:hAnsi="仿宋_GB2312" w:cs="仿宋_GB2312" w:eastAsia="仿宋_GB2312"/>
                      <w:sz w:val="15"/>
                      <w:color w:val="000000"/>
                    </w:rPr>
                    <w:t>：</w:t>
                  </w:r>
                  <w:r>
                    <w:rPr>
                      <w:rFonts w:ascii="仿宋_GB2312" w:hAnsi="仿宋_GB2312" w:cs="仿宋_GB2312" w:eastAsia="仿宋_GB2312"/>
                      <w:sz w:val="15"/>
                      <w:color w:val="000000"/>
                    </w:rPr>
                    <w:t>（1）实时监控心率和骑行转速。（2）自带大屏幕10寸以上LCD触摸显示屏，具备自助式触摸人机互动界面。（3）配备心率测试臂带及充电支架，方便心率臂带的摆放和充电。（4）可通过身份证获取用户信息，测试结果实时上传至健康体测管理系统。</w:t>
                  </w:r>
                </w:p>
                <w:p>
                  <w:pPr>
                    <w:pStyle w:val="null3"/>
                    <w:jc w:val="left"/>
                  </w:pPr>
                  <w:r>
                    <w:rPr>
                      <w:rFonts w:ascii="仿宋_GB2312" w:hAnsi="仿宋_GB2312" w:cs="仿宋_GB2312" w:eastAsia="仿宋_GB2312"/>
                      <w:sz w:val="15"/>
                      <w:color w:val="000000"/>
                    </w:rPr>
                    <w:t>12）</w:t>
                  </w:r>
                  <w:r>
                    <w:rPr>
                      <w:rFonts w:ascii="仿宋_GB2312" w:hAnsi="仿宋_GB2312" w:cs="仿宋_GB2312" w:eastAsia="仿宋_GB2312"/>
                      <w:sz w:val="15"/>
                      <w:color w:val="000000"/>
                    </w:rPr>
                    <w:t>★</w:t>
                  </w:r>
                  <w:r>
                    <w:rPr>
                      <w:rFonts w:ascii="仿宋_GB2312" w:hAnsi="仿宋_GB2312" w:cs="仿宋_GB2312" w:eastAsia="仿宋_GB2312"/>
                      <w:sz w:val="15"/>
                      <w:color w:val="000000"/>
                    </w:rPr>
                    <w:t>设备应基于国产AI芯片基础开发（提供生产厂家出具的国产AI芯片的证明材料）</w:t>
                  </w:r>
                </w:p>
                <w:p>
                  <w:pPr>
                    <w:pStyle w:val="null3"/>
                    <w:jc w:val="left"/>
                  </w:pPr>
                  <w:r>
                    <w:rPr>
                      <w:rFonts w:ascii="仿宋_GB2312" w:hAnsi="仿宋_GB2312" w:cs="仿宋_GB2312" w:eastAsia="仿宋_GB2312"/>
                      <w:sz w:val="15"/>
                      <w:color w:val="000000"/>
                    </w:rPr>
                    <w:t>13）</w:t>
                  </w:r>
                  <w:r>
                    <w:rPr>
                      <w:rFonts w:ascii="仿宋_GB2312" w:hAnsi="仿宋_GB2312" w:cs="仿宋_GB2312" w:eastAsia="仿宋_GB2312"/>
                      <w:sz w:val="15"/>
                      <w:color w:val="000000"/>
                    </w:rPr>
                    <w:t>★</w:t>
                  </w:r>
                  <w:r>
                    <w:rPr>
                      <w:rFonts w:ascii="仿宋_GB2312" w:hAnsi="仿宋_GB2312" w:cs="仿宋_GB2312" w:eastAsia="仿宋_GB2312"/>
                      <w:sz w:val="15"/>
                      <w:color w:val="000000"/>
                    </w:rPr>
                    <w:t>提供生产厂家符合《中华人民共和国体育行业标准TY/T 2001-2015国民体质测试器材通用要求》的国家体育用品质量监督检验中心出具的检测报告；</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个</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13</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羽毛球拍、乒乓球拍、篮球</w:t>
                  </w:r>
                </w:p>
              </w:tc>
              <w:tc>
                <w:tcPr>
                  <w:tcW w:type="dxa" w:w="1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羽毛球拍主体材质为金属或碳纤维，</w:t>
                  </w:r>
                  <w:r>
                    <w:rPr>
                      <w:rFonts w:ascii="仿宋_GB2312" w:hAnsi="仿宋_GB2312" w:cs="仿宋_GB2312" w:eastAsia="仿宋_GB2312"/>
                      <w:sz w:val="15"/>
                      <w:color w:val="000000"/>
                    </w:rPr>
                    <w:t>拍杆与拍框采用</w:t>
                  </w:r>
                  <w:r>
                    <w:rPr>
                      <w:rFonts w:ascii="仿宋_GB2312" w:hAnsi="仿宋_GB2312" w:cs="仿宋_GB2312" w:eastAsia="仿宋_GB2312"/>
                      <w:sz w:val="15"/>
                      <w:color w:val="000000"/>
                    </w:rPr>
                    <w:t>一体化成型技术。乒乓球拍木质底板，双面贴胶皮。篮球采用7号篮球，表面材质PVC或PU革。</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个</w:t>
                  </w: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color w:val="000000"/>
                    </w:rPr>
                    <w:t>10</w:t>
                  </w:r>
                </w:p>
              </w:tc>
            </w:tr>
          </w:tbl>
          <w:p>
            <w:pPr>
              <w:pStyle w:val="null3"/>
            </w:pPr>
            <w:r>
              <w:rPr>
                <w:rFonts w:ascii="仿宋_GB2312" w:hAnsi="仿宋_GB2312" w:cs="仿宋_GB2312" w:eastAsia="仿宋_GB2312"/>
                <w:sz w:val="15"/>
              </w:rPr>
              <w:t>本标段核心产品：国民体质检测一体机；儿童滑梯1 ；儿童滑梯2。</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自合同签订之日起30个日历日完成全部项目内容，并交付采购人验收合格。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自合同签订之日起30个日历日完成全部项目内容，并交付采购人验收合格。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项目通过验收合格后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项目通过验收合格后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项目通过验收合格后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1）合同文本及合同补充文件（条款）。2）招标文件及中标人的投标文件。3）货物清单。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1）合同文本及合同补充文件（条款）。2）招标文件及中标人的投标文件。3）货物清单。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1）合同文本及合同补充文件（条款）。2）招标文件及中标人的投标文件。3）货物清单。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1）合同文本及合同补充文件（条款）。2）招标文件及中标人的投标文件。3）货物清单。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自签订供货合同，验收合格之日起8年。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自签订供货合同，验收合格之日起8年。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自签订供货合同，验收合格之日起8年。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自签订供货合同，验收合格之日起8年。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1）按《民法典》中的相关条款执行。2）未按合同要求提供产品或设备质量不能满足技术要求，采购人有权终止合同，并对中标方违约行为进行追究，同时按《中华人民共和国政府采购法》的有关规定进行处罚。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1）按《民法典》中的相关条款执行。2）未按合同要求提供产品或设备质量不能满足技术要求，采购人有权终止合同，并对中标方违约行为进行追究，同时按《中华人民共和国政府采购法》的有关规定进行处罚。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1）按《民法典》中的相关条款执行。2）未按合同要求提供产品或设备质量不能满足技术要求，采购人有权终止合同，并对中标方违约行为进行追究，同时按《中华人民共和国政府采购法》的有关规定进行处罚。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1）按《民法典》中的相关条款执行。2）未按合同要求提供产品或设备质量不能满足技术要求，采购人有权终止合同，并对中标方违约行为进行追究，同时按《中华人民共和国政府采购法》的有关规定进行处罚。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1、成交供应商需要提交响应文件正本壹份、副本贰份、电子版U盘壹份，标明供应商名称。递交地点:陕西省西安市高新区高新六路21号万象汇街区T6座1501。 2、所有健身器材符合GB19272-2011《室外健身器材的安全通用要求》并持有国家认证认可监督管理委员会批准具备体育用品认证资格的第三方认证机构依据GB19272-2011标准出具的认证证书；质保期8年。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1、成交供应商需要提交响应文件正本壹份、副本贰份、电子版U盘壹份，标明供应商名称。递交地点:陕西省西安市高新区高新六路21号万象汇街区T6座1501。 2、所有健身器材符合GB19272-2011《室外健身器材的安全通用要求》并持有国家认证认可监督管理委员会批准具备体育用品认证资格的第三方认证机构依据GB19272-2011标准出具的认证证书；质保期8年。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1、成交供应商需要提交响应文件正本壹份、副本贰份、电子版U盘壹份，标明供应商名称。递交地点:陕西省西安市高新区高新六路21号万象汇街区T6座1501。 2、所有健身器材符合GB19272-2011《室外健身器材的安全通用要求》并持有国家认证认可监督管理委员会批准具备体育用品认证资格的第三方认证机构依据GB19272-2011标准出具的认证证书；质保期8年。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1、成交供应商需要提交响应文件正本壹份、副本贰份、电子版U盘壹份，标明供应商名称。递交地点:陕西省西安市高新区高新六路21号万象汇街区T6座1501。 2、所有健身器材符合GB19272-2011《室外健身器材的安全通用要求》并持有国家认证认可监督管理委员会批准具备体育用品认证资格的第三方认证机构依据GB19272-2011标准出具的认证证书；质保期8年。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中小企业声明函..docx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中小企业声明函..docx 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中小企业声明函..docx 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提供投标截止时间前12个月内任意一个月的已缴存的社会保障资金缴存单据或社保机构开具的社会保险参保缴费情况证明，依法不需要缴纳社会保障资金的单位应提供相关证明材料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税收缴纳证明：提供投标截止时间前12个月内任意一个月的纳税证明或完税证明（任意税种），依法免税的单位应提供相关证明材料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供应商应授权合法的人员参加谈判，其中法定代表人直接参加的，须出具法定代表人证明书；被授权代表参加的，须出具法定代表人授权书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提供投标截止时间前12个月内任意一个月的已缴存的社会保障资金缴存单据或社保机构开具的社会保险参保缴费情况证明，依法不需要缴纳社会保障资金的单位应提供相关证明材料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税收缴纳证明：提供投标截止时间前12个月内任意一个月的纳税证明或完税证明（任意税种），依法免税的单位应提供相关证明材料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供应商应授权合法的人员参加谈判，其中法定代表人直接参加的，须出具法定代表人证明书；被授权代表参加的，须出具法定代表人授权书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提供投标截止时间前12个月内任意一个月的已缴存的社会保障资金缴存单据或社保机构开具的社会保险参保缴费情况证明，依法不需要缴纳社会保障资金的单位应提供相关证明材料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税收缴纳证明：提供投标截止时间前12个月内任意一个月的纳税证明或完税证明（任意税种），依法免税的单位应提供相关证明材料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供应商应授权合法的人员参加谈判，其中法定代表人直接参加的，须出具法定代表人证明书；被授权代表参加的，须出具法定代表人授权书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企业赋码后的2024年财务审计报告(提供经审计的资产负债表、现金流量表、利润表(损益表)等资料复印件，提供的财务审计报告需在注册会计师行业统一监管平台(http://acc.mof.gov.cn/)可查询并提供网页截图(成立时间至提交响应文件截止时间不足一年的可提供成立后任意时段的资产负债表)或提供响应文件截止时间前六个月内其基本账户开户银行出具的资信证明</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提供投标截止时间前12个月内任意一个月的已缴存的社会保障资金缴存单据或社保机构开具的社会保险参保缴费情况证明，依法不需要缴纳社会保障资金的单位应提供相关证明材料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税收缴纳证明：提供投标截止时间前12个月内任意一个月的纳税证明或完税证明（任意税种），依法免税的单位应提供相关证明材料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供应商应授权合法的人员参加谈判，其中法定代表人直接参加的，须出具法定代表人证明书；被授权代表参加的，须出具法定代表人授权书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供应商应提交的相关资格证明材料.docx 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无效情形1.响应文件语言、有效期2.响应文件格式3.备选方案4.响应文件内容5.技术响应6.履行期限和交货地点7.质保期8.付款方式9.报价10.公平竞争11.附加条件</w:t>
            </w:r>
          </w:p>
        </w:tc>
        <w:tc>
          <w:tcPr>
            <w:tcW w:type="dxa" w:w="3322"/>
          </w:tcPr>
          <w:p>
            <w:pPr>
              <w:pStyle w:val="null3"/>
            </w:pPr>
            <w:r>
              <w:rPr>
                <w:rFonts w:ascii="仿宋_GB2312" w:hAnsi="仿宋_GB2312" w:cs="仿宋_GB2312" w:eastAsia="仿宋_GB2312"/>
              </w:rPr>
              <w:t>无法律、法规和谈判文件规定的其他无效情形；1.语言、有效期满足谈判文件要求的；2.响应文件按规定的格式填写，内容完整且关键字迹清晰；3.供应商不得提交两份或者多份内容不同的响应文件，或者在同一份响应文件中对同一谈判项目有两个或者多个报价；4.供应商提供的货物无实质性遗漏；5.符合“采购需求”要求，无重大偏差；6.满足谈判文件要求；7.满足谈判文件要求；8.谈判文件不允许偏差时，响应文件无负偏差；9.供应商报价是固定价且未超过预算金额（谈判文件有最高限价的，报价未超过最高限价）；10.遵循公平竞争的原则，没有弄虚作假、恶意串通或妨碍其他供应商的竞争行为，损害采购人或者其他供应商的合法权益；弄虚作假、相互串通的情形；11.响应文件不含有采购人不能接受的附加条件。</w:t>
            </w:r>
          </w:p>
        </w:tc>
        <w:tc>
          <w:tcPr>
            <w:tcW w:type="dxa" w:w="1661"/>
          </w:tcPr>
          <w:p>
            <w:pPr>
              <w:pStyle w:val="null3"/>
            </w:pPr>
            <w:r>
              <w:rPr>
                <w:rFonts w:ascii="仿宋_GB2312" w:hAnsi="仿宋_GB2312" w:cs="仿宋_GB2312" w:eastAsia="仿宋_GB2312"/>
              </w:rPr>
              <w:t>技术参数偏离表.docx 中小企业声明函 供应商应提交的相关资格证明材料 报价表 商务应答表.docx 响应文件封面 供应商应提交的相关资格证明材料.docx 残疾人福利性单位声明函 标的清单 响应函 监狱企业的证明文件 报价明细表.docx 投标方案及其他.docx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无效情形1.响应文件语言、有效期2.响应文件格式3.备选方案4.响应文件内容5.技术响应6.履行期限和交货地点7.质保期8.付款方式9.报价10.公平竞争11.附加条件</w:t>
            </w:r>
          </w:p>
        </w:tc>
        <w:tc>
          <w:tcPr>
            <w:tcW w:type="dxa" w:w="3322"/>
          </w:tcPr>
          <w:p>
            <w:pPr>
              <w:pStyle w:val="null3"/>
            </w:pPr>
            <w:r>
              <w:rPr>
                <w:rFonts w:ascii="仿宋_GB2312" w:hAnsi="仿宋_GB2312" w:cs="仿宋_GB2312" w:eastAsia="仿宋_GB2312"/>
              </w:rPr>
              <w:t>无法律、法规和谈判文件规定的其他无效情形；1.语言、有效期满足谈判文件要求的；2.响应文件按规定的格式填写，内容完整且关键字迹清晰；3.供应商不得提交两份或者多份内容不同的响应文件，或者在同一份响应文件中对同一谈判项目有两个或者多个报价；4.供应商提供的货物无实质性遗漏；5.符合“采购需求”要求，无重大偏差；6.满足谈判文件要求；7.满足谈判文件要求；8.谈判文件不允许偏差时，响应文件无负偏差；9.供应商报价是固定价且未超过预算金额（谈判文件有最高限价的，报价未超过最高限价）；10.遵循公平竞争的原则，没有弄虚作假、恶意串通或妨碍其他供应商的竞争行为，损害采购人或者其他供应商的合法权益；弄虚作假、相互串通的情形；11.响应文件不含有采购人不能接受的附加条件。</w:t>
            </w:r>
          </w:p>
        </w:tc>
        <w:tc>
          <w:tcPr>
            <w:tcW w:type="dxa" w:w="1661"/>
          </w:tcPr>
          <w:p>
            <w:pPr>
              <w:pStyle w:val="null3"/>
            </w:pPr>
            <w:r>
              <w:rPr>
                <w:rFonts w:ascii="仿宋_GB2312" w:hAnsi="仿宋_GB2312" w:cs="仿宋_GB2312" w:eastAsia="仿宋_GB2312"/>
              </w:rPr>
              <w:t>技术参数偏离表.docx 中小企业声明函 供应商应提交的相关资格证明材料 报价表 商务应答表.docx 响应文件封面 供应商应提交的相关资格证明材料.docx 残疾人福利性单位声明函 标的清单 响应函 监狱企业的证明文件 报价明细表.docx 投标方案及其他.docx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无效情形1.响应文件语言、有效期2.响应文件格式3.备选方案4.响应文件内容5.技术响应6.履行期限和交货地点7.质保期8.付款方式9.报价10.公平竞争11.附加条件</w:t>
            </w:r>
          </w:p>
        </w:tc>
        <w:tc>
          <w:tcPr>
            <w:tcW w:type="dxa" w:w="3322"/>
          </w:tcPr>
          <w:p>
            <w:pPr>
              <w:pStyle w:val="null3"/>
            </w:pPr>
            <w:r>
              <w:rPr>
                <w:rFonts w:ascii="仿宋_GB2312" w:hAnsi="仿宋_GB2312" w:cs="仿宋_GB2312" w:eastAsia="仿宋_GB2312"/>
              </w:rPr>
              <w:t>无法律、法规和谈判文件规定的其他无效情形；1.语言、有效期满足谈判文件要求的；2.响应文件按规定的格式填写，内容完整且关键字迹清晰；3.供应商不得提交两份或者多份内容不同的响应文件，或者在同一份响应文件中对同一谈判项目有两个或者多个报价；4.供应商提供的货物无实质性遗漏；5.符合“采购需求”要求，无重大偏差；6.满足谈判文件要求；7.满足谈判文件要求；8.谈判文件不允许偏差时，响应文件无负偏差；9.供应商报价是固定价且未超过预算金额（谈判文件有最高限价的，报价未超过最高限价）；10.遵循公平竞争的原则，没有弄虚作假、恶意串通或妨碍其他供应商的竞争行为，损害采购人或者其他供应商的合法权益；弄虚作假、相互串通的情形；11.响应文件不含有采购人不能接受的附加条件。</w:t>
            </w:r>
          </w:p>
        </w:tc>
        <w:tc>
          <w:tcPr>
            <w:tcW w:type="dxa" w:w="1661"/>
          </w:tcPr>
          <w:p>
            <w:pPr>
              <w:pStyle w:val="null3"/>
            </w:pPr>
            <w:r>
              <w:rPr>
                <w:rFonts w:ascii="仿宋_GB2312" w:hAnsi="仿宋_GB2312" w:cs="仿宋_GB2312" w:eastAsia="仿宋_GB2312"/>
              </w:rPr>
              <w:t>技术参数偏离表.docx 中小企业声明函 供应商应提交的相关资格证明材料 报价表 商务应答表.docx 响应文件封面 供应商应提交的相关资格证明材料.docx 残疾人福利性单位声明函 标的清单 响应函 监狱企业的证明文件 报价明细表.docx 投标方案及其他.docx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无效情形1.响应文件语言、有效期2.响应文件格式3.备选方案4.响应文件内容5.技术响应6.履行期限和交货地点7.质保期8.付款方式9.报价10.公平竞争11.附加条件</w:t>
            </w:r>
          </w:p>
        </w:tc>
        <w:tc>
          <w:tcPr>
            <w:tcW w:type="dxa" w:w="3322"/>
          </w:tcPr>
          <w:p>
            <w:pPr>
              <w:pStyle w:val="null3"/>
            </w:pPr>
            <w:r>
              <w:rPr>
                <w:rFonts w:ascii="仿宋_GB2312" w:hAnsi="仿宋_GB2312" w:cs="仿宋_GB2312" w:eastAsia="仿宋_GB2312"/>
              </w:rPr>
              <w:t>无法律、法规和谈判文件规定的其他无效情形；1.语言、有效期满足谈判文件要求的；2.响应文件按规定的格式填写，内容完整且关键字迹清晰；3.供应商不得提交两份或者多份内容不同的响应文件，或者在同一份响应文件中对同一谈判项目有两个或者多个报价；4.供应商提供的货物无实质性遗漏；5.符合“采购需求”要求，无重大偏差；6.满足谈判文件要求；7.满足谈判文件要求；8.谈判文件不允许偏差时，响应文件无负偏差；9.供应商报价是固定价且未超过预算金额（谈判文件有最高限价的，报价未超过最高限价）；10.遵循公平竞争的原则，没有弄虚作假、恶意串通或妨碍其他供应商的竞争行为，损害采购人或者其他供应商的合法权益；弄虚作假、相互串通的情形；11.响应文件不含有采购人不能接受的附加条件。</w:t>
            </w:r>
          </w:p>
        </w:tc>
        <w:tc>
          <w:tcPr>
            <w:tcW w:type="dxa" w:w="1661"/>
          </w:tcPr>
          <w:p>
            <w:pPr>
              <w:pStyle w:val="null3"/>
            </w:pPr>
            <w:r>
              <w:rPr>
                <w:rFonts w:ascii="仿宋_GB2312" w:hAnsi="仿宋_GB2312" w:cs="仿宋_GB2312" w:eastAsia="仿宋_GB2312"/>
              </w:rPr>
              <w:t>技术参数偏离表.docx 中小企业声明函 供应商应提交的相关资格证明材料 报价表 商务应答表.docx 响应文件封面 供应商应提交的相关资格证明材料.docx 残疾人福利性单位声明函 标的清单 响应函 监狱企业的证明文件 报价明细表.docx 投标方案及其他.docx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详见附件：投标方案及其他.docx</w:t>
      </w:r>
    </w:p>
    <w:p>
      <w:pPr>
        <w:pStyle w:val="null3"/>
        <w:ind w:firstLine="960"/>
      </w:pPr>
      <w:r>
        <w:rPr>
          <w:rFonts w:ascii="仿宋_GB2312" w:hAnsi="仿宋_GB2312" w:cs="仿宋_GB2312" w:eastAsia="仿宋_GB2312"/>
        </w:rPr>
        <w:t>详见附件：中小企业声明函..docx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详见附件：投标方案及其他.docx</w:t>
      </w:r>
    </w:p>
    <w:p>
      <w:pPr>
        <w:pStyle w:val="null3"/>
        <w:ind w:firstLine="960"/>
      </w:pPr>
      <w:r>
        <w:rPr>
          <w:rFonts w:ascii="仿宋_GB2312" w:hAnsi="仿宋_GB2312" w:cs="仿宋_GB2312" w:eastAsia="仿宋_GB2312"/>
        </w:rPr>
        <w:t>详见附件：中小企业声明函..docx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详见附件：投标方案及其他.docx</w:t>
      </w:r>
    </w:p>
    <w:p>
      <w:pPr>
        <w:pStyle w:val="null3"/>
        <w:ind w:firstLine="960"/>
      </w:pPr>
      <w:r>
        <w:rPr>
          <w:rFonts w:ascii="仿宋_GB2312" w:hAnsi="仿宋_GB2312" w:cs="仿宋_GB2312" w:eastAsia="仿宋_GB2312"/>
        </w:rPr>
        <w:t>详见附件：中小企业声明函..docx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详见附件：投标方案及其他.docx</w:t>
      </w:r>
    </w:p>
    <w:p>
      <w:pPr>
        <w:pStyle w:val="null3"/>
        <w:ind w:firstLine="960"/>
      </w:pPr>
      <w:r>
        <w:rPr>
          <w:rFonts w:ascii="仿宋_GB2312" w:hAnsi="仿宋_GB2312" w:cs="仿宋_GB2312" w:eastAsia="仿宋_GB2312"/>
        </w:rPr>
        <w:t>详见附件：中小企业声明函..docx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