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472059">
      <w:pPr>
        <w:spacing w:line="360" w:lineRule="auto"/>
        <w:jc w:val="center"/>
        <w:rPr>
          <w:rFonts w:hint="eastAsia" w:ascii="仿宋" w:hAnsi="仿宋" w:eastAsia="仿宋" w:cs="仿宋"/>
          <w:b w:val="0"/>
          <w:bCs w:val="0"/>
          <w:color w:val="auto"/>
          <w:sz w:val="32"/>
          <w:szCs w:val="32"/>
          <w:lang w:eastAsia="zh-CN"/>
        </w:rPr>
      </w:pPr>
      <w:r>
        <w:rPr>
          <w:rFonts w:hint="eastAsia" w:ascii="仿宋" w:hAnsi="仿宋" w:eastAsia="仿宋" w:cs="仿宋"/>
          <w:b/>
          <w:bCs/>
          <w:color w:val="auto"/>
          <w:sz w:val="32"/>
          <w:szCs w:val="32"/>
        </w:rPr>
        <w:t>合同模板</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lang w:val="en-US" w:eastAsia="zh-CN"/>
        </w:rPr>
        <w:t>仅供参考</w:t>
      </w:r>
      <w:r>
        <w:rPr>
          <w:rFonts w:hint="eastAsia" w:ascii="仿宋" w:hAnsi="仿宋" w:eastAsia="仿宋" w:cs="仿宋"/>
          <w:b w:val="0"/>
          <w:bCs w:val="0"/>
          <w:color w:val="auto"/>
          <w:sz w:val="32"/>
          <w:szCs w:val="32"/>
          <w:lang w:eastAsia="zh-CN"/>
        </w:rPr>
        <w:t>）</w:t>
      </w:r>
    </w:p>
    <w:p w14:paraId="0AC87EF1">
      <w:pPr>
        <w:pStyle w:val="3"/>
        <w:kinsoku/>
        <w:autoSpaceDE/>
        <w:autoSpaceDN/>
        <w:adjustRightInd/>
        <w:snapToGrid/>
        <w:ind w:firstLine="640" w:firstLineChars="200"/>
        <w:textAlignment w:val="auto"/>
        <w:rPr>
          <w:rFonts w:ascii="仿宋" w:hAnsi="仿宋" w:cs="Times New Roman"/>
          <w:snapToGrid/>
          <w:color w:val="auto"/>
          <w:szCs w:val="32"/>
        </w:rPr>
      </w:pPr>
    </w:p>
    <w:p w14:paraId="55D2891B">
      <w:pPr>
        <w:widowControl w:val="0"/>
        <w:kinsoku/>
        <w:autoSpaceDE/>
        <w:autoSpaceDN/>
        <w:adjustRightInd/>
        <w:snapToGrid/>
        <w:spacing w:line="324" w:lineRule="auto"/>
        <w:jc w:val="center"/>
        <w:textAlignment w:val="auto"/>
        <w:rPr>
          <w:rFonts w:ascii="Times New Roman" w:hAnsi="Times New Roman" w:eastAsia="仿宋" w:cs="Times New Roman"/>
          <w:snapToGrid/>
          <w:color w:val="auto"/>
          <w:kern w:val="2"/>
          <w:sz w:val="28"/>
          <w:szCs w:val="22"/>
        </w:rPr>
      </w:pPr>
      <w:r>
        <w:rPr>
          <w:rFonts w:ascii="Times New Roman" w:hAnsi="Times New Roman" w:eastAsia="仿宋" w:cs="Times New Roman"/>
          <w:snapToGrid/>
          <w:color w:val="auto"/>
          <w:kern w:val="2"/>
          <w:sz w:val="28"/>
          <w:szCs w:val="22"/>
        </w:rPr>
        <w:t>____________</w:t>
      </w:r>
      <w:r>
        <w:rPr>
          <w:rFonts w:hint="eastAsia" w:ascii="Times New Roman" w:hAnsi="Times New Roman" w:eastAsia="仿宋" w:cs="Times New Roman"/>
          <w:snapToGrid/>
          <w:color w:val="auto"/>
          <w:kern w:val="2"/>
          <w:sz w:val="28"/>
          <w:szCs w:val="22"/>
        </w:rPr>
        <w:t>项目</w:t>
      </w:r>
    </w:p>
    <w:p w14:paraId="2F7F0DF9">
      <w:pPr>
        <w:pStyle w:val="3"/>
        <w:kinsoku/>
        <w:autoSpaceDE/>
        <w:autoSpaceDN/>
        <w:adjustRightInd/>
        <w:snapToGrid/>
        <w:ind w:firstLine="560" w:firstLineChars="200"/>
        <w:jc w:val="center"/>
        <w:textAlignment w:val="auto"/>
        <w:rPr>
          <w:rFonts w:hint="eastAsia" w:ascii="仿宋" w:hAnsi="仿宋" w:cs="Times New Roman"/>
          <w:snapToGrid/>
          <w:color w:val="auto"/>
          <w:sz w:val="28"/>
          <w:szCs w:val="28"/>
        </w:rPr>
      </w:pPr>
    </w:p>
    <w:p w14:paraId="20F5D393">
      <w:pPr>
        <w:pStyle w:val="3"/>
        <w:kinsoku/>
        <w:autoSpaceDE/>
        <w:autoSpaceDN/>
        <w:adjustRightInd/>
        <w:snapToGrid/>
        <w:ind w:firstLine="560" w:firstLineChars="200"/>
        <w:jc w:val="center"/>
        <w:textAlignment w:val="auto"/>
        <w:rPr>
          <w:rFonts w:ascii="仿宋" w:hAnsi="仿宋" w:cs="Times New Roman"/>
          <w:snapToGrid/>
          <w:color w:val="auto"/>
          <w:sz w:val="28"/>
          <w:szCs w:val="28"/>
        </w:rPr>
      </w:pPr>
    </w:p>
    <w:p w14:paraId="26DBF6D2">
      <w:pPr>
        <w:pStyle w:val="3"/>
        <w:kinsoku/>
        <w:autoSpaceDE/>
        <w:autoSpaceDN/>
        <w:adjustRightInd/>
        <w:snapToGrid/>
        <w:ind w:firstLine="560" w:firstLineChars="200"/>
        <w:jc w:val="center"/>
        <w:textAlignment w:val="auto"/>
        <w:rPr>
          <w:rFonts w:ascii="仿宋" w:hAnsi="仿宋" w:cs="Times New Roman"/>
          <w:snapToGrid/>
          <w:color w:val="auto"/>
          <w:sz w:val="28"/>
          <w:szCs w:val="28"/>
        </w:rPr>
      </w:pPr>
    </w:p>
    <w:p w14:paraId="45C00309">
      <w:pPr>
        <w:pStyle w:val="3"/>
        <w:kinsoku/>
        <w:autoSpaceDE/>
        <w:autoSpaceDN/>
        <w:adjustRightInd/>
        <w:snapToGrid/>
        <w:ind w:firstLine="560" w:firstLineChars="200"/>
        <w:jc w:val="center"/>
        <w:textAlignment w:val="auto"/>
        <w:rPr>
          <w:rFonts w:ascii="仿宋" w:hAnsi="仿宋" w:cs="Times New Roman"/>
          <w:snapToGrid/>
          <w:color w:val="auto"/>
          <w:sz w:val="28"/>
          <w:szCs w:val="28"/>
        </w:rPr>
      </w:pPr>
    </w:p>
    <w:p w14:paraId="465B781C">
      <w:pPr>
        <w:pStyle w:val="3"/>
        <w:kinsoku/>
        <w:autoSpaceDE/>
        <w:autoSpaceDN/>
        <w:adjustRightInd/>
        <w:snapToGrid/>
        <w:ind w:firstLine="560" w:firstLineChars="200"/>
        <w:jc w:val="center"/>
        <w:textAlignment w:val="auto"/>
        <w:rPr>
          <w:rFonts w:ascii="仿宋" w:hAnsi="仿宋" w:cs="Times New Roman"/>
          <w:snapToGrid/>
          <w:color w:val="auto"/>
          <w:sz w:val="28"/>
          <w:szCs w:val="28"/>
        </w:rPr>
      </w:pPr>
    </w:p>
    <w:p w14:paraId="034AC0CF">
      <w:pPr>
        <w:pStyle w:val="3"/>
        <w:kinsoku/>
        <w:autoSpaceDE/>
        <w:autoSpaceDN/>
        <w:adjustRightInd/>
        <w:snapToGrid/>
        <w:ind w:firstLine="560" w:firstLineChars="200"/>
        <w:jc w:val="center"/>
        <w:textAlignment w:val="auto"/>
        <w:rPr>
          <w:rFonts w:ascii="仿宋" w:hAnsi="仿宋" w:cs="Times New Roman"/>
          <w:snapToGrid/>
          <w:color w:val="auto"/>
          <w:sz w:val="28"/>
          <w:szCs w:val="28"/>
        </w:rPr>
      </w:pPr>
    </w:p>
    <w:p w14:paraId="709D47E3">
      <w:pPr>
        <w:pStyle w:val="3"/>
        <w:kinsoku/>
        <w:autoSpaceDE/>
        <w:autoSpaceDN/>
        <w:adjustRightInd/>
        <w:snapToGrid/>
        <w:ind w:firstLine="560" w:firstLineChars="200"/>
        <w:jc w:val="center"/>
        <w:textAlignment w:val="auto"/>
        <w:rPr>
          <w:rFonts w:ascii="仿宋" w:hAnsi="仿宋" w:cs="Times New Roman"/>
          <w:snapToGrid/>
          <w:color w:val="auto"/>
          <w:sz w:val="28"/>
          <w:szCs w:val="28"/>
        </w:rPr>
      </w:pPr>
    </w:p>
    <w:p w14:paraId="7D2D3111">
      <w:pPr>
        <w:pStyle w:val="3"/>
        <w:kinsoku/>
        <w:autoSpaceDE/>
        <w:autoSpaceDN/>
        <w:adjustRightInd/>
        <w:snapToGrid/>
        <w:ind w:firstLine="560" w:firstLineChars="200"/>
        <w:jc w:val="center"/>
        <w:textAlignment w:val="auto"/>
        <w:rPr>
          <w:rFonts w:ascii="仿宋" w:hAnsi="仿宋" w:cs="Times New Roman"/>
          <w:snapToGrid/>
          <w:color w:val="auto"/>
          <w:sz w:val="28"/>
          <w:szCs w:val="28"/>
        </w:rPr>
      </w:pPr>
    </w:p>
    <w:p w14:paraId="391348A5">
      <w:pPr>
        <w:pStyle w:val="3"/>
        <w:kinsoku/>
        <w:autoSpaceDE/>
        <w:autoSpaceDN/>
        <w:adjustRightInd/>
        <w:snapToGrid/>
        <w:ind w:firstLine="560" w:firstLineChars="200"/>
        <w:jc w:val="center"/>
        <w:textAlignment w:val="auto"/>
        <w:rPr>
          <w:rFonts w:ascii="仿宋" w:hAnsi="仿宋" w:cs="Times New Roman"/>
          <w:snapToGrid/>
          <w:color w:val="auto"/>
          <w:sz w:val="28"/>
          <w:szCs w:val="28"/>
        </w:rPr>
      </w:pPr>
    </w:p>
    <w:p w14:paraId="2730AAD6">
      <w:pPr>
        <w:pStyle w:val="3"/>
        <w:kinsoku/>
        <w:autoSpaceDE/>
        <w:autoSpaceDN/>
        <w:adjustRightInd/>
        <w:snapToGrid/>
        <w:ind w:firstLine="560" w:firstLineChars="200"/>
        <w:textAlignment w:val="auto"/>
        <w:rPr>
          <w:rFonts w:ascii="仿宋" w:hAnsi="仿宋" w:cs="Times New Roman"/>
          <w:snapToGrid/>
          <w:color w:val="auto"/>
          <w:sz w:val="28"/>
          <w:szCs w:val="28"/>
        </w:rPr>
      </w:pPr>
    </w:p>
    <w:p w14:paraId="52D5A17D">
      <w:pPr>
        <w:widowControl w:val="0"/>
        <w:kinsoku/>
        <w:autoSpaceDE/>
        <w:autoSpaceDN/>
        <w:adjustRightInd/>
        <w:snapToGrid/>
        <w:spacing w:line="324" w:lineRule="auto"/>
        <w:jc w:val="center"/>
        <w:textAlignment w:val="auto"/>
        <w:rPr>
          <w:rFonts w:ascii="Times New Roman" w:hAnsi="Times New Roman" w:eastAsia="仿宋" w:cs="Times New Roman"/>
          <w:b/>
          <w:snapToGrid/>
          <w:color w:val="auto"/>
          <w:kern w:val="2"/>
          <w:sz w:val="28"/>
          <w:szCs w:val="22"/>
        </w:rPr>
      </w:pPr>
      <w:r>
        <w:rPr>
          <w:rFonts w:hint="eastAsia" w:ascii="Times New Roman" w:hAnsi="Times New Roman" w:eastAsia="仿宋" w:cs="Times New Roman"/>
          <w:b/>
          <w:snapToGrid/>
          <w:color w:val="auto"/>
          <w:kern w:val="2"/>
          <w:sz w:val="28"/>
          <w:szCs w:val="22"/>
        </w:rPr>
        <w:t>合　　同</w:t>
      </w:r>
    </w:p>
    <w:p w14:paraId="6A6E0464">
      <w:pPr>
        <w:pStyle w:val="3"/>
        <w:kinsoku/>
        <w:autoSpaceDE/>
        <w:autoSpaceDN/>
        <w:adjustRightInd/>
        <w:snapToGrid/>
        <w:ind w:firstLine="560" w:firstLineChars="200"/>
        <w:textAlignment w:val="auto"/>
        <w:rPr>
          <w:rFonts w:ascii="仿宋" w:hAnsi="仿宋" w:cs="Times New Roman"/>
          <w:snapToGrid/>
          <w:color w:val="auto"/>
          <w:sz w:val="28"/>
          <w:szCs w:val="28"/>
        </w:rPr>
      </w:pPr>
    </w:p>
    <w:p w14:paraId="1756FE71">
      <w:pPr>
        <w:pStyle w:val="3"/>
        <w:kinsoku/>
        <w:autoSpaceDE/>
        <w:autoSpaceDN/>
        <w:adjustRightInd/>
        <w:snapToGrid/>
        <w:ind w:firstLine="560" w:firstLineChars="200"/>
        <w:textAlignment w:val="auto"/>
        <w:rPr>
          <w:rFonts w:ascii="仿宋" w:hAnsi="仿宋" w:cs="Times New Roman"/>
          <w:snapToGrid/>
          <w:color w:val="auto"/>
          <w:sz w:val="28"/>
          <w:szCs w:val="28"/>
        </w:rPr>
      </w:pPr>
    </w:p>
    <w:p w14:paraId="25C8DBA8">
      <w:pPr>
        <w:widowControl w:val="0"/>
        <w:kinsoku/>
        <w:autoSpaceDE/>
        <w:autoSpaceDN/>
        <w:adjustRightInd/>
        <w:snapToGrid/>
        <w:spacing w:line="324" w:lineRule="auto"/>
        <w:ind w:firstLine="1400" w:firstLineChars="500"/>
        <w:jc w:val="both"/>
        <w:textAlignment w:val="auto"/>
        <w:rPr>
          <w:rFonts w:ascii="Times New Roman" w:hAnsi="Times New Roman" w:eastAsia="仿宋" w:cs="Times New Roman"/>
          <w:snapToGrid/>
          <w:color w:val="auto"/>
          <w:kern w:val="2"/>
          <w:sz w:val="28"/>
          <w:szCs w:val="22"/>
        </w:rPr>
      </w:pPr>
      <w:r>
        <w:rPr>
          <w:rFonts w:hint="eastAsia" w:ascii="Times New Roman" w:hAnsi="Times New Roman" w:eastAsia="仿宋" w:cs="Times New Roman"/>
          <w:snapToGrid/>
          <w:color w:val="auto"/>
          <w:kern w:val="2"/>
          <w:sz w:val="28"/>
          <w:szCs w:val="22"/>
        </w:rPr>
        <w:t>合同编号：</w:t>
      </w:r>
      <w:r>
        <w:rPr>
          <w:rFonts w:ascii="Times New Roman" w:hAnsi="Times New Roman" w:eastAsia="仿宋" w:cs="Times New Roman"/>
          <w:snapToGrid/>
          <w:color w:val="auto"/>
          <w:kern w:val="2"/>
          <w:sz w:val="28"/>
          <w:szCs w:val="22"/>
        </w:rPr>
        <w:t>____________________</w:t>
      </w:r>
    </w:p>
    <w:p w14:paraId="328AC672">
      <w:pPr>
        <w:widowControl w:val="0"/>
        <w:kinsoku/>
        <w:autoSpaceDE/>
        <w:autoSpaceDN/>
        <w:adjustRightInd/>
        <w:snapToGrid/>
        <w:spacing w:line="324" w:lineRule="auto"/>
        <w:jc w:val="both"/>
        <w:textAlignment w:val="auto"/>
        <w:rPr>
          <w:rFonts w:ascii="Times New Roman" w:hAnsi="Times New Roman" w:eastAsia="仿宋" w:cs="Times New Roman"/>
          <w:snapToGrid/>
          <w:color w:val="auto"/>
          <w:kern w:val="2"/>
          <w:sz w:val="28"/>
          <w:szCs w:val="22"/>
        </w:rPr>
      </w:pPr>
    </w:p>
    <w:p w14:paraId="00680BCB">
      <w:pPr>
        <w:widowControl w:val="0"/>
        <w:kinsoku/>
        <w:autoSpaceDE/>
        <w:autoSpaceDN/>
        <w:adjustRightInd/>
        <w:snapToGrid/>
        <w:spacing w:line="324" w:lineRule="auto"/>
        <w:jc w:val="both"/>
        <w:textAlignment w:val="auto"/>
        <w:rPr>
          <w:rFonts w:ascii="Times New Roman" w:hAnsi="Times New Roman" w:eastAsia="仿宋" w:cs="Times New Roman"/>
          <w:snapToGrid/>
          <w:color w:val="auto"/>
          <w:kern w:val="2"/>
          <w:sz w:val="28"/>
          <w:szCs w:val="22"/>
        </w:rPr>
      </w:pPr>
    </w:p>
    <w:p w14:paraId="18E643C0">
      <w:pPr>
        <w:widowControl w:val="0"/>
        <w:kinsoku/>
        <w:autoSpaceDE/>
        <w:autoSpaceDN/>
        <w:adjustRightInd/>
        <w:snapToGrid/>
        <w:spacing w:line="324" w:lineRule="auto"/>
        <w:ind w:firstLine="1400" w:firstLineChars="500"/>
        <w:jc w:val="both"/>
        <w:textAlignment w:val="auto"/>
        <w:rPr>
          <w:rFonts w:ascii="Times New Roman" w:hAnsi="Times New Roman" w:eastAsia="仿宋" w:cs="Times New Roman"/>
          <w:snapToGrid/>
          <w:color w:val="auto"/>
          <w:kern w:val="2"/>
          <w:sz w:val="28"/>
          <w:szCs w:val="22"/>
        </w:rPr>
      </w:pPr>
      <w:r>
        <w:rPr>
          <w:rFonts w:hint="eastAsia" w:ascii="Times New Roman" w:hAnsi="Times New Roman" w:eastAsia="仿宋" w:cs="Times New Roman"/>
          <w:snapToGrid/>
          <w:color w:val="auto"/>
          <w:kern w:val="2"/>
          <w:sz w:val="28"/>
          <w:szCs w:val="22"/>
        </w:rPr>
        <w:t>甲　　方：</w:t>
      </w:r>
      <w:r>
        <w:rPr>
          <w:rFonts w:ascii="Times New Roman" w:hAnsi="Times New Roman" w:eastAsia="仿宋" w:cs="Times New Roman"/>
          <w:snapToGrid/>
          <w:color w:val="auto"/>
          <w:kern w:val="2"/>
          <w:sz w:val="28"/>
          <w:szCs w:val="22"/>
        </w:rPr>
        <w:t>____________________(</w:t>
      </w:r>
      <w:r>
        <w:rPr>
          <w:rFonts w:hint="eastAsia" w:ascii="Times New Roman" w:hAnsi="Times New Roman" w:eastAsia="仿宋" w:cs="Times New Roman"/>
          <w:snapToGrid/>
          <w:color w:val="auto"/>
          <w:kern w:val="2"/>
          <w:sz w:val="28"/>
          <w:szCs w:val="22"/>
        </w:rPr>
        <w:t>采购人名称</w:t>
      </w:r>
      <w:r>
        <w:rPr>
          <w:rFonts w:ascii="Times New Roman" w:hAnsi="Times New Roman" w:eastAsia="仿宋" w:cs="Times New Roman"/>
          <w:snapToGrid/>
          <w:color w:val="auto"/>
          <w:kern w:val="2"/>
          <w:sz w:val="28"/>
          <w:szCs w:val="22"/>
        </w:rPr>
        <w:t>)</w:t>
      </w:r>
    </w:p>
    <w:p w14:paraId="12123283">
      <w:pPr>
        <w:widowControl w:val="0"/>
        <w:kinsoku/>
        <w:autoSpaceDE/>
        <w:autoSpaceDN/>
        <w:adjustRightInd/>
        <w:snapToGrid/>
        <w:spacing w:line="324" w:lineRule="auto"/>
        <w:jc w:val="both"/>
        <w:textAlignment w:val="auto"/>
        <w:rPr>
          <w:rFonts w:ascii="Times New Roman" w:hAnsi="Times New Roman" w:eastAsia="仿宋" w:cs="Times New Roman"/>
          <w:snapToGrid/>
          <w:color w:val="auto"/>
          <w:kern w:val="2"/>
          <w:sz w:val="28"/>
          <w:szCs w:val="22"/>
        </w:rPr>
      </w:pPr>
      <w:r>
        <w:rPr>
          <w:rFonts w:hint="eastAsia" w:ascii="Times New Roman" w:hAnsi="Times New Roman" w:eastAsia="仿宋" w:cs="Times New Roman"/>
          <w:snapToGrid/>
          <w:color w:val="auto"/>
          <w:kern w:val="2"/>
          <w:sz w:val="28"/>
          <w:szCs w:val="22"/>
        </w:rPr>
        <w:t xml:space="preserve">          乙　　方：</w:t>
      </w:r>
      <w:r>
        <w:rPr>
          <w:rFonts w:ascii="Times New Roman" w:hAnsi="Times New Roman" w:eastAsia="仿宋" w:cs="Times New Roman"/>
          <w:snapToGrid/>
          <w:color w:val="auto"/>
          <w:kern w:val="2"/>
          <w:sz w:val="28"/>
          <w:szCs w:val="22"/>
        </w:rPr>
        <w:t>____________________(</w:t>
      </w:r>
      <w:r>
        <w:rPr>
          <w:rFonts w:hint="eastAsia" w:eastAsia="仿宋" w:cs="Times New Roman"/>
          <w:snapToGrid/>
          <w:color w:val="auto"/>
          <w:kern w:val="2"/>
          <w:sz w:val="28"/>
          <w:szCs w:val="22"/>
          <w:lang w:eastAsia="zh-CN"/>
        </w:rPr>
        <w:t>成交</w:t>
      </w:r>
      <w:r>
        <w:rPr>
          <w:rFonts w:hint="eastAsia" w:ascii="Times New Roman" w:hAnsi="Times New Roman" w:eastAsia="仿宋" w:cs="Times New Roman"/>
          <w:snapToGrid/>
          <w:color w:val="auto"/>
          <w:kern w:val="2"/>
          <w:sz w:val="28"/>
          <w:szCs w:val="22"/>
        </w:rPr>
        <w:t>人名称</w:t>
      </w:r>
      <w:r>
        <w:rPr>
          <w:rFonts w:ascii="Times New Roman" w:hAnsi="Times New Roman" w:eastAsia="仿宋" w:cs="Times New Roman"/>
          <w:snapToGrid/>
          <w:color w:val="auto"/>
          <w:kern w:val="2"/>
          <w:sz w:val="28"/>
          <w:szCs w:val="22"/>
        </w:rPr>
        <w:t>)</w:t>
      </w:r>
    </w:p>
    <w:p w14:paraId="693CAA29">
      <w:pPr>
        <w:rPr>
          <w:rFonts w:hint="eastAsia" w:ascii="仿宋" w:hAnsi="仿宋" w:eastAsia="仿宋" w:cs="仿宋"/>
          <w:b/>
          <w:color w:val="auto"/>
          <w:kern w:val="1"/>
          <w:sz w:val="36"/>
          <w:szCs w:val="36"/>
          <w:highlight w:val="none"/>
        </w:rPr>
      </w:pPr>
      <w:r>
        <w:rPr>
          <w:rFonts w:hint="eastAsia" w:ascii="仿宋" w:hAnsi="仿宋" w:eastAsia="仿宋" w:cs="仿宋"/>
          <w:b/>
          <w:color w:val="auto"/>
          <w:kern w:val="1"/>
          <w:sz w:val="36"/>
          <w:szCs w:val="36"/>
          <w:highlight w:val="none"/>
        </w:rPr>
        <w:br w:type="page"/>
      </w:r>
    </w:p>
    <w:p w14:paraId="2CA551E7">
      <w:pPr>
        <w:jc w:val="center"/>
        <w:rPr>
          <w:rFonts w:hint="eastAsia" w:ascii="仿宋" w:hAnsi="仿宋" w:eastAsia="仿宋" w:cs="仿宋"/>
          <w:b/>
          <w:color w:val="auto"/>
          <w:kern w:val="1"/>
          <w:sz w:val="36"/>
          <w:szCs w:val="36"/>
          <w:highlight w:val="none"/>
        </w:rPr>
      </w:pPr>
      <w:r>
        <w:rPr>
          <w:rFonts w:hint="eastAsia" w:ascii="仿宋" w:hAnsi="仿宋" w:eastAsia="仿宋" w:cs="仿宋"/>
          <w:b/>
          <w:color w:val="auto"/>
          <w:kern w:val="1"/>
          <w:sz w:val="36"/>
          <w:szCs w:val="36"/>
          <w:highlight w:val="none"/>
        </w:rPr>
        <w:t xml:space="preserve"> 合 同</w:t>
      </w:r>
    </w:p>
    <w:p w14:paraId="198C100E">
      <w:pPr>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甲方：</w:t>
      </w:r>
    </w:p>
    <w:p w14:paraId="5641C0AD">
      <w:pPr>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乙方：</w:t>
      </w:r>
    </w:p>
    <w:p w14:paraId="312BD1B2">
      <w:pPr>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在</w:t>
      </w:r>
      <w:r>
        <w:rPr>
          <w:rFonts w:hint="eastAsia" w:ascii="仿宋" w:hAnsi="仿宋" w:eastAsia="仿宋" w:cs="仿宋"/>
          <w:color w:val="auto"/>
          <w:kern w:val="1"/>
          <w:szCs w:val="21"/>
          <w:highlight w:val="none"/>
          <w:lang w:val="en-US" w:eastAsia="zh-CN"/>
        </w:rPr>
        <w:t>西安市阎良区财政局采购中心</w:t>
      </w:r>
      <w:r>
        <w:rPr>
          <w:rFonts w:hint="eastAsia" w:ascii="仿宋" w:hAnsi="仿宋" w:eastAsia="仿宋" w:cs="仿宋"/>
          <w:color w:val="auto"/>
          <w:kern w:val="1"/>
          <w:szCs w:val="21"/>
          <w:highlight w:val="none"/>
        </w:rPr>
        <w:t>的监督管理下，按照政府采购程序组织</w:t>
      </w:r>
      <w:r>
        <w:rPr>
          <w:rFonts w:hint="eastAsia" w:ascii="仿宋" w:hAnsi="仿宋" w:eastAsia="仿宋" w:cs="仿宋"/>
          <w:color w:val="auto"/>
          <w:kern w:val="1"/>
          <w:szCs w:val="21"/>
          <w:highlight w:val="none"/>
          <w:lang w:val="en-US" w:eastAsia="zh-CN"/>
        </w:rPr>
        <w:t>竞争性谈判</w:t>
      </w:r>
      <w:r>
        <w:rPr>
          <w:rFonts w:hint="eastAsia" w:ascii="仿宋" w:hAnsi="仿宋" w:eastAsia="仿宋" w:cs="仿宋"/>
          <w:color w:val="auto"/>
          <w:kern w:val="1"/>
          <w:szCs w:val="21"/>
          <w:highlight w:val="none"/>
        </w:rPr>
        <w:t>，确定乙方为</w:t>
      </w:r>
      <w:r>
        <w:rPr>
          <w:rFonts w:hint="eastAsia" w:ascii="仿宋" w:hAnsi="仿宋" w:eastAsia="仿宋" w:cs="仿宋"/>
          <w:color w:val="auto"/>
          <w:kern w:val="1"/>
          <w:szCs w:val="21"/>
          <w:highlight w:val="none"/>
          <w:lang w:val="en-US" w:eastAsia="zh-CN"/>
        </w:rPr>
        <w:t>成交</w:t>
      </w:r>
      <w:r>
        <w:rPr>
          <w:rFonts w:hint="eastAsia" w:ascii="仿宋" w:hAnsi="仿宋" w:eastAsia="仿宋" w:cs="仿宋"/>
          <w:color w:val="auto"/>
          <w:kern w:val="1"/>
          <w:szCs w:val="21"/>
          <w:highlight w:val="none"/>
        </w:rPr>
        <w:t>人（</w:t>
      </w:r>
      <w:r>
        <w:rPr>
          <w:rFonts w:hint="eastAsia" w:ascii="仿宋" w:hAnsi="仿宋" w:eastAsia="仿宋" w:cs="仿宋"/>
          <w:color w:val="auto"/>
          <w:kern w:val="1"/>
          <w:szCs w:val="21"/>
          <w:highlight w:val="none"/>
          <w:lang w:val="en-US" w:eastAsia="zh-CN"/>
        </w:rPr>
        <w:t>成交</w:t>
      </w:r>
      <w:r>
        <w:rPr>
          <w:rFonts w:hint="eastAsia" w:ascii="仿宋" w:hAnsi="仿宋" w:eastAsia="仿宋" w:cs="仿宋"/>
          <w:color w:val="auto"/>
          <w:kern w:val="1"/>
          <w:szCs w:val="21"/>
          <w:highlight w:val="none"/>
        </w:rPr>
        <w:t>供应商）。依据《中华人民共和国政府采购法》、《中华人民共和国招标投标法》、《中华人民共和国</w:t>
      </w:r>
      <w:r>
        <w:rPr>
          <w:rFonts w:hint="eastAsia" w:ascii="仿宋" w:hAnsi="仿宋" w:eastAsia="仿宋" w:cs="仿宋"/>
          <w:color w:val="auto"/>
          <w:kern w:val="1"/>
          <w:szCs w:val="21"/>
          <w:highlight w:val="none"/>
          <w:lang w:val="en-US" w:eastAsia="zh-CN"/>
        </w:rPr>
        <w:t>民法典</w:t>
      </w:r>
      <w:r>
        <w:rPr>
          <w:rFonts w:hint="eastAsia" w:ascii="仿宋" w:hAnsi="仿宋" w:eastAsia="仿宋" w:cs="仿宋"/>
          <w:color w:val="auto"/>
          <w:kern w:val="1"/>
          <w:szCs w:val="21"/>
          <w:highlight w:val="none"/>
        </w:rPr>
        <w:t>》以及</w:t>
      </w:r>
      <w:r>
        <w:rPr>
          <w:rFonts w:hint="eastAsia" w:ascii="仿宋" w:hAnsi="仿宋" w:eastAsia="仿宋" w:cs="仿宋"/>
          <w:color w:val="auto"/>
          <w:kern w:val="1"/>
          <w:szCs w:val="21"/>
          <w:highlight w:val="none"/>
          <w:lang w:val="en-US" w:eastAsia="zh-CN"/>
        </w:rPr>
        <w:t>谈判</w:t>
      </w:r>
      <w:r>
        <w:rPr>
          <w:rFonts w:hint="eastAsia" w:ascii="仿宋" w:hAnsi="仿宋" w:eastAsia="仿宋" w:cs="仿宋"/>
          <w:color w:val="auto"/>
          <w:kern w:val="1"/>
          <w:szCs w:val="21"/>
          <w:highlight w:val="none"/>
        </w:rPr>
        <w:t>文件、</w:t>
      </w:r>
      <w:r>
        <w:rPr>
          <w:rFonts w:hint="eastAsia" w:ascii="仿宋" w:hAnsi="仿宋" w:eastAsia="仿宋" w:cs="仿宋"/>
          <w:color w:val="auto"/>
          <w:kern w:val="1"/>
          <w:szCs w:val="21"/>
          <w:highlight w:val="none"/>
          <w:lang w:val="en-US" w:eastAsia="zh-CN"/>
        </w:rPr>
        <w:t>成交</w:t>
      </w:r>
      <w:r>
        <w:rPr>
          <w:rFonts w:hint="eastAsia" w:ascii="仿宋" w:hAnsi="仿宋" w:eastAsia="仿宋" w:cs="仿宋"/>
          <w:color w:val="auto"/>
          <w:kern w:val="1"/>
          <w:szCs w:val="21"/>
          <w:highlight w:val="none"/>
        </w:rPr>
        <w:t>人（</w:t>
      </w:r>
      <w:r>
        <w:rPr>
          <w:rFonts w:hint="eastAsia" w:ascii="仿宋" w:hAnsi="仿宋" w:eastAsia="仿宋" w:cs="仿宋"/>
          <w:color w:val="auto"/>
          <w:kern w:val="1"/>
          <w:szCs w:val="21"/>
          <w:highlight w:val="none"/>
          <w:lang w:val="en-US" w:eastAsia="zh-CN"/>
        </w:rPr>
        <w:t>成交</w:t>
      </w:r>
      <w:r>
        <w:rPr>
          <w:rFonts w:hint="eastAsia" w:ascii="仿宋" w:hAnsi="仿宋" w:eastAsia="仿宋" w:cs="仿宋"/>
          <w:color w:val="auto"/>
          <w:kern w:val="1"/>
          <w:szCs w:val="21"/>
          <w:highlight w:val="none"/>
        </w:rPr>
        <w:t>供应商）的</w:t>
      </w:r>
      <w:r>
        <w:rPr>
          <w:rFonts w:hint="eastAsia" w:ascii="仿宋" w:hAnsi="仿宋" w:eastAsia="仿宋" w:cs="仿宋"/>
          <w:color w:val="auto"/>
          <w:kern w:val="1"/>
          <w:szCs w:val="21"/>
          <w:highlight w:val="none"/>
          <w:lang w:val="en-US" w:eastAsia="zh-CN"/>
        </w:rPr>
        <w:t>响应</w:t>
      </w:r>
      <w:r>
        <w:rPr>
          <w:rFonts w:hint="eastAsia" w:ascii="仿宋" w:hAnsi="仿宋" w:eastAsia="仿宋" w:cs="仿宋"/>
          <w:color w:val="auto"/>
          <w:kern w:val="1"/>
          <w:szCs w:val="21"/>
          <w:highlight w:val="none"/>
        </w:rPr>
        <w:t>文件正本和澄清表（函）、</w:t>
      </w:r>
      <w:r>
        <w:rPr>
          <w:rFonts w:hint="eastAsia" w:ascii="仿宋" w:hAnsi="仿宋" w:eastAsia="仿宋" w:cs="仿宋"/>
          <w:color w:val="auto"/>
          <w:kern w:val="1"/>
          <w:szCs w:val="21"/>
          <w:highlight w:val="none"/>
          <w:lang w:val="en-US" w:eastAsia="zh-CN"/>
        </w:rPr>
        <w:t>成交</w:t>
      </w:r>
      <w:r>
        <w:rPr>
          <w:rFonts w:hint="eastAsia" w:ascii="仿宋" w:hAnsi="仿宋" w:eastAsia="仿宋" w:cs="仿宋"/>
          <w:color w:val="auto"/>
          <w:kern w:val="1"/>
          <w:szCs w:val="21"/>
          <w:highlight w:val="none"/>
        </w:rPr>
        <w:t>通知书，经甲、乙双方协商，达成如下条款：</w:t>
      </w:r>
    </w:p>
    <w:p w14:paraId="07374C1B">
      <w:pPr>
        <w:tabs>
          <w:tab w:val="left" w:pos="480"/>
        </w:tabs>
        <w:spacing w:line="360" w:lineRule="auto"/>
        <w:ind w:firstLine="420"/>
        <w:rPr>
          <w:rFonts w:hint="eastAsia" w:ascii="仿宋" w:hAnsi="仿宋" w:eastAsia="仿宋" w:cs="仿宋"/>
          <w:b/>
          <w:color w:val="auto"/>
          <w:kern w:val="1"/>
          <w:szCs w:val="21"/>
          <w:highlight w:val="none"/>
        </w:rPr>
      </w:pPr>
      <w:r>
        <w:rPr>
          <w:rFonts w:hint="eastAsia" w:ascii="仿宋" w:hAnsi="仿宋" w:eastAsia="仿宋" w:cs="仿宋"/>
          <w:b/>
          <w:color w:val="auto"/>
          <w:kern w:val="1"/>
          <w:szCs w:val="21"/>
          <w:highlight w:val="none"/>
        </w:rPr>
        <w:t>一、合同服务所需内容及数量</w:t>
      </w:r>
      <w:r>
        <w:rPr>
          <w:rFonts w:hint="eastAsia" w:ascii="仿宋" w:hAnsi="仿宋" w:eastAsia="仿宋" w:cs="仿宋"/>
          <w:color w:val="auto"/>
          <w:kern w:val="1"/>
          <w:szCs w:val="21"/>
          <w:highlight w:val="none"/>
        </w:rPr>
        <w:t>（以</w:t>
      </w:r>
      <w:r>
        <w:rPr>
          <w:rFonts w:hint="eastAsia" w:ascii="仿宋" w:hAnsi="仿宋" w:eastAsia="仿宋" w:cs="仿宋"/>
          <w:color w:val="auto"/>
          <w:kern w:val="1"/>
          <w:szCs w:val="21"/>
          <w:highlight w:val="none"/>
          <w:lang w:eastAsia="zh-CN"/>
        </w:rPr>
        <w:t>响应</w:t>
      </w:r>
      <w:r>
        <w:rPr>
          <w:rFonts w:hint="eastAsia" w:ascii="仿宋" w:hAnsi="仿宋" w:eastAsia="仿宋" w:cs="仿宋"/>
          <w:color w:val="auto"/>
          <w:kern w:val="1"/>
          <w:szCs w:val="21"/>
          <w:highlight w:val="none"/>
        </w:rPr>
        <w:t>文件正本和澄清表〈函〉为准）</w:t>
      </w:r>
    </w:p>
    <w:tbl>
      <w:tblPr>
        <w:tblStyle w:val="4"/>
        <w:tblW w:w="88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1587"/>
        <w:gridCol w:w="954"/>
        <w:gridCol w:w="1587"/>
        <w:gridCol w:w="954"/>
        <w:gridCol w:w="954"/>
        <w:gridCol w:w="953"/>
        <w:gridCol w:w="953"/>
      </w:tblGrid>
      <w:tr w14:paraId="172D8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63454877">
            <w:pPr>
              <w:spacing w:line="360" w:lineRule="auto"/>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序号</w:t>
            </w:r>
          </w:p>
        </w:tc>
        <w:tc>
          <w:tcPr>
            <w:tcW w:w="1587" w:type="dxa"/>
            <w:noWrap w:val="0"/>
            <w:vAlign w:val="center"/>
          </w:tcPr>
          <w:p w14:paraId="44E1E551">
            <w:pPr>
              <w:spacing w:line="360" w:lineRule="auto"/>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货物名称</w:t>
            </w:r>
          </w:p>
        </w:tc>
        <w:tc>
          <w:tcPr>
            <w:tcW w:w="954" w:type="dxa"/>
            <w:noWrap w:val="0"/>
            <w:vAlign w:val="center"/>
          </w:tcPr>
          <w:p w14:paraId="6B2882BD">
            <w:pPr>
              <w:spacing w:line="360" w:lineRule="auto"/>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品牌</w:t>
            </w:r>
          </w:p>
        </w:tc>
        <w:tc>
          <w:tcPr>
            <w:tcW w:w="1587" w:type="dxa"/>
            <w:noWrap w:val="0"/>
            <w:vAlign w:val="center"/>
          </w:tcPr>
          <w:p w14:paraId="6ACA6713">
            <w:pPr>
              <w:spacing w:line="360" w:lineRule="auto"/>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型号规格</w:t>
            </w:r>
          </w:p>
        </w:tc>
        <w:tc>
          <w:tcPr>
            <w:tcW w:w="954" w:type="dxa"/>
            <w:noWrap w:val="0"/>
            <w:vAlign w:val="center"/>
          </w:tcPr>
          <w:p w14:paraId="7880CD97">
            <w:pPr>
              <w:spacing w:line="360" w:lineRule="auto"/>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单价</w:t>
            </w:r>
          </w:p>
        </w:tc>
        <w:tc>
          <w:tcPr>
            <w:tcW w:w="954" w:type="dxa"/>
            <w:noWrap w:val="0"/>
            <w:vAlign w:val="center"/>
          </w:tcPr>
          <w:p w14:paraId="0911D385">
            <w:pPr>
              <w:spacing w:line="360" w:lineRule="auto"/>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数量</w:t>
            </w:r>
          </w:p>
        </w:tc>
        <w:tc>
          <w:tcPr>
            <w:tcW w:w="953" w:type="dxa"/>
            <w:noWrap w:val="0"/>
            <w:vAlign w:val="center"/>
          </w:tcPr>
          <w:p w14:paraId="31A583F8">
            <w:pPr>
              <w:spacing w:line="360" w:lineRule="auto"/>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小计</w:t>
            </w:r>
          </w:p>
        </w:tc>
        <w:tc>
          <w:tcPr>
            <w:tcW w:w="953" w:type="dxa"/>
            <w:noWrap w:val="0"/>
            <w:vAlign w:val="center"/>
          </w:tcPr>
          <w:p w14:paraId="1CF0CDEC">
            <w:pPr>
              <w:spacing w:line="360" w:lineRule="auto"/>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备注</w:t>
            </w:r>
          </w:p>
        </w:tc>
      </w:tr>
      <w:tr w14:paraId="527F7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2B919D82">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1587" w:type="dxa"/>
            <w:noWrap w:val="0"/>
            <w:vAlign w:val="center"/>
          </w:tcPr>
          <w:p w14:paraId="23F944D1">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4" w:type="dxa"/>
            <w:noWrap w:val="0"/>
            <w:vAlign w:val="center"/>
          </w:tcPr>
          <w:p w14:paraId="0CBFE107">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1587" w:type="dxa"/>
            <w:noWrap w:val="0"/>
            <w:vAlign w:val="center"/>
          </w:tcPr>
          <w:p w14:paraId="013EA2CA">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4" w:type="dxa"/>
            <w:noWrap w:val="0"/>
            <w:vAlign w:val="center"/>
          </w:tcPr>
          <w:p w14:paraId="07915D13">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4" w:type="dxa"/>
            <w:noWrap w:val="0"/>
            <w:vAlign w:val="center"/>
          </w:tcPr>
          <w:p w14:paraId="43741E80">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3" w:type="dxa"/>
            <w:noWrap w:val="0"/>
            <w:vAlign w:val="center"/>
          </w:tcPr>
          <w:p w14:paraId="24FFAC3C">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3" w:type="dxa"/>
            <w:noWrap w:val="0"/>
            <w:vAlign w:val="center"/>
          </w:tcPr>
          <w:p w14:paraId="75EEC5B5">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r>
      <w:tr w14:paraId="6FD0E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5E32DD07">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1587" w:type="dxa"/>
            <w:noWrap w:val="0"/>
            <w:vAlign w:val="center"/>
          </w:tcPr>
          <w:p w14:paraId="6C815A3E">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4" w:type="dxa"/>
            <w:noWrap w:val="0"/>
            <w:vAlign w:val="center"/>
          </w:tcPr>
          <w:p w14:paraId="29E3D3BD">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1587" w:type="dxa"/>
            <w:noWrap w:val="0"/>
            <w:vAlign w:val="center"/>
          </w:tcPr>
          <w:p w14:paraId="44369D77">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4" w:type="dxa"/>
            <w:noWrap w:val="0"/>
            <w:vAlign w:val="center"/>
          </w:tcPr>
          <w:p w14:paraId="307AAA17">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4" w:type="dxa"/>
            <w:noWrap w:val="0"/>
            <w:vAlign w:val="center"/>
          </w:tcPr>
          <w:p w14:paraId="0B0D3E6D">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3" w:type="dxa"/>
            <w:noWrap w:val="0"/>
            <w:vAlign w:val="center"/>
          </w:tcPr>
          <w:p w14:paraId="5EF4362C">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3" w:type="dxa"/>
            <w:noWrap w:val="0"/>
            <w:vAlign w:val="center"/>
          </w:tcPr>
          <w:p w14:paraId="667C0C09">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r>
      <w:tr w14:paraId="2E720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452C94D1">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1587" w:type="dxa"/>
            <w:noWrap w:val="0"/>
            <w:vAlign w:val="center"/>
          </w:tcPr>
          <w:p w14:paraId="57F46AE0">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4" w:type="dxa"/>
            <w:noWrap w:val="0"/>
            <w:vAlign w:val="center"/>
          </w:tcPr>
          <w:p w14:paraId="33A8BE62">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1587" w:type="dxa"/>
            <w:noWrap w:val="0"/>
            <w:vAlign w:val="center"/>
          </w:tcPr>
          <w:p w14:paraId="2FC5B538">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4" w:type="dxa"/>
            <w:noWrap w:val="0"/>
            <w:vAlign w:val="center"/>
          </w:tcPr>
          <w:p w14:paraId="361DB18A">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4" w:type="dxa"/>
            <w:noWrap w:val="0"/>
            <w:vAlign w:val="center"/>
          </w:tcPr>
          <w:p w14:paraId="60460B80">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3" w:type="dxa"/>
            <w:noWrap w:val="0"/>
            <w:vAlign w:val="center"/>
          </w:tcPr>
          <w:p w14:paraId="4D42E6FE">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3" w:type="dxa"/>
            <w:noWrap w:val="0"/>
            <w:vAlign w:val="center"/>
          </w:tcPr>
          <w:p w14:paraId="63410D28">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r>
      <w:tr w14:paraId="30561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6355785B">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1587" w:type="dxa"/>
            <w:noWrap w:val="0"/>
            <w:vAlign w:val="center"/>
          </w:tcPr>
          <w:p w14:paraId="54A912F4">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4" w:type="dxa"/>
            <w:noWrap w:val="0"/>
            <w:vAlign w:val="center"/>
          </w:tcPr>
          <w:p w14:paraId="01CACE95">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1587" w:type="dxa"/>
            <w:noWrap w:val="0"/>
            <w:vAlign w:val="center"/>
          </w:tcPr>
          <w:p w14:paraId="0C11ED1A">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4" w:type="dxa"/>
            <w:noWrap w:val="0"/>
            <w:vAlign w:val="center"/>
          </w:tcPr>
          <w:p w14:paraId="13429C88">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4" w:type="dxa"/>
            <w:noWrap w:val="0"/>
            <w:vAlign w:val="center"/>
          </w:tcPr>
          <w:p w14:paraId="6D39A6BB">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3" w:type="dxa"/>
            <w:noWrap w:val="0"/>
            <w:vAlign w:val="center"/>
          </w:tcPr>
          <w:p w14:paraId="589A5803">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3" w:type="dxa"/>
            <w:noWrap w:val="0"/>
            <w:vAlign w:val="center"/>
          </w:tcPr>
          <w:p w14:paraId="35A362A2">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r>
      <w:tr w14:paraId="541A3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6B18D51B">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1587" w:type="dxa"/>
            <w:noWrap w:val="0"/>
            <w:vAlign w:val="center"/>
          </w:tcPr>
          <w:p w14:paraId="78FD8F50">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4" w:type="dxa"/>
            <w:noWrap w:val="0"/>
            <w:vAlign w:val="center"/>
          </w:tcPr>
          <w:p w14:paraId="656DA44F">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1587" w:type="dxa"/>
            <w:noWrap w:val="0"/>
            <w:vAlign w:val="center"/>
          </w:tcPr>
          <w:p w14:paraId="3F88F82A">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4" w:type="dxa"/>
            <w:noWrap w:val="0"/>
            <w:vAlign w:val="center"/>
          </w:tcPr>
          <w:p w14:paraId="196B0DA0">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4" w:type="dxa"/>
            <w:noWrap w:val="0"/>
            <w:vAlign w:val="center"/>
          </w:tcPr>
          <w:p w14:paraId="27209DCF">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3" w:type="dxa"/>
            <w:noWrap w:val="0"/>
            <w:vAlign w:val="center"/>
          </w:tcPr>
          <w:p w14:paraId="2443AF06">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3" w:type="dxa"/>
            <w:noWrap w:val="0"/>
            <w:vAlign w:val="center"/>
          </w:tcPr>
          <w:p w14:paraId="3772C3FA">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r>
      <w:tr w14:paraId="315C3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 w:type="dxa"/>
            <w:noWrap w:val="0"/>
            <w:vAlign w:val="center"/>
          </w:tcPr>
          <w:p w14:paraId="1F4D66C0">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8"/>
                <w:szCs w:val="28"/>
              </w:rPr>
            </w:pPr>
          </w:p>
        </w:tc>
        <w:tc>
          <w:tcPr>
            <w:tcW w:w="1587" w:type="dxa"/>
            <w:noWrap w:val="0"/>
            <w:vAlign w:val="center"/>
          </w:tcPr>
          <w:p w14:paraId="273BDBAF">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8"/>
                <w:szCs w:val="28"/>
              </w:rPr>
            </w:pPr>
          </w:p>
        </w:tc>
        <w:tc>
          <w:tcPr>
            <w:tcW w:w="954" w:type="dxa"/>
            <w:noWrap w:val="0"/>
            <w:vAlign w:val="center"/>
          </w:tcPr>
          <w:p w14:paraId="5C2E09AE">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8"/>
                <w:szCs w:val="28"/>
              </w:rPr>
            </w:pPr>
          </w:p>
        </w:tc>
        <w:tc>
          <w:tcPr>
            <w:tcW w:w="1587" w:type="dxa"/>
            <w:noWrap w:val="0"/>
            <w:vAlign w:val="center"/>
          </w:tcPr>
          <w:p w14:paraId="42BE9255">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8"/>
                <w:szCs w:val="28"/>
              </w:rPr>
            </w:pPr>
          </w:p>
        </w:tc>
        <w:tc>
          <w:tcPr>
            <w:tcW w:w="954" w:type="dxa"/>
            <w:noWrap w:val="0"/>
            <w:vAlign w:val="center"/>
          </w:tcPr>
          <w:p w14:paraId="649D349C">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8"/>
                <w:szCs w:val="28"/>
              </w:rPr>
            </w:pPr>
          </w:p>
        </w:tc>
        <w:tc>
          <w:tcPr>
            <w:tcW w:w="954" w:type="dxa"/>
            <w:noWrap w:val="0"/>
            <w:vAlign w:val="center"/>
          </w:tcPr>
          <w:p w14:paraId="5E34B8D9">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8"/>
                <w:szCs w:val="28"/>
              </w:rPr>
            </w:pPr>
          </w:p>
        </w:tc>
        <w:tc>
          <w:tcPr>
            <w:tcW w:w="953" w:type="dxa"/>
            <w:noWrap w:val="0"/>
            <w:vAlign w:val="center"/>
          </w:tcPr>
          <w:p w14:paraId="67547040">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8"/>
                <w:szCs w:val="28"/>
              </w:rPr>
            </w:pPr>
          </w:p>
        </w:tc>
        <w:tc>
          <w:tcPr>
            <w:tcW w:w="953" w:type="dxa"/>
            <w:noWrap w:val="0"/>
            <w:vAlign w:val="center"/>
          </w:tcPr>
          <w:p w14:paraId="726179FB">
            <w:pPr>
              <w:widowControl w:val="0"/>
              <w:kinsoku/>
              <w:autoSpaceDE/>
              <w:autoSpaceDN/>
              <w:adjustRightInd/>
              <w:snapToGrid/>
              <w:spacing w:line="336" w:lineRule="auto"/>
              <w:jc w:val="both"/>
              <w:textAlignment w:val="auto"/>
              <w:rPr>
                <w:rFonts w:ascii="仿宋" w:hAnsi="仿宋" w:eastAsia="仿宋" w:cs="MingLiU_HKSCS"/>
                <w:snapToGrid/>
                <w:color w:val="auto"/>
                <w:kern w:val="2"/>
                <w:sz w:val="28"/>
                <w:szCs w:val="28"/>
              </w:rPr>
            </w:pPr>
          </w:p>
        </w:tc>
      </w:tr>
      <w:tr w14:paraId="4B634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82" w:type="dxa"/>
            <w:gridSpan w:val="4"/>
            <w:noWrap w:val="0"/>
            <w:vAlign w:val="center"/>
          </w:tcPr>
          <w:p w14:paraId="70C2CFE3">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r>
              <w:rPr>
                <w:rFonts w:hint="eastAsia" w:ascii="仿宋" w:hAnsi="仿宋" w:eastAsia="仿宋" w:cs="Times New Roman"/>
                <w:snapToGrid/>
                <w:color w:val="auto"/>
                <w:kern w:val="2"/>
                <w:sz w:val="24"/>
                <w:szCs w:val="24"/>
              </w:rPr>
              <w:t>合计</w:t>
            </w:r>
          </w:p>
        </w:tc>
        <w:tc>
          <w:tcPr>
            <w:tcW w:w="954" w:type="dxa"/>
            <w:noWrap w:val="0"/>
            <w:vAlign w:val="center"/>
          </w:tcPr>
          <w:p w14:paraId="2C26F80F">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4" w:type="dxa"/>
            <w:noWrap w:val="0"/>
            <w:vAlign w:val="center"/>
          </w:tcPr>
          <w:p w14:paraId="66E047CD">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3" w:type="dxa"/>
            <w:noWrap w:val="0"/>
            <w:vAlign w:val="center"/>
          </w:tcPr>
          <w:p w14:paraId="3F2078A5">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4"/>
                <w:szCs w:val="24"/>
              </w:rPr>
            </w:pPr>
          </w:p>
        </w:tc>
        <w:tc>
          <w:tcPr>
            <w:tcW w:w="953" w:type="dxa"/>
            <w:noWrap w:val="0"/>
            <w:vAlign w:val="center"/>
          </w:tcPr>
          <w:p w14:paraId="16215D72">
            <w:pPr>
              <w:widowControl w:val="0"/>
              <w:kinsoku/>
              <w:autoSpaceDE/>
              <w:autoSpaceDN/>
              <w:adjustRightInd/>
              <w:snapToGrid/>
              <w:spacing w:line="336" w:lineRule="auto"/>
              <w:jc w:val="both"/>
              <w:textAlignment w:val="auto"/>
              <w:rPr>
                <w:rFonts w:ascii="仿宋" w:hAnsi="仿宋" w:eastAsia="仿宋" w:cs="Times New Roman"/>
                <w:snapToGrid/>
                <w:color w:val="auto"/>
                <w:kern w:val="2"/>
                <w:sz w:val="28"/>
                <w:szCs w:val="28"/>
              </w:rPr>
            </w:pPr>
          </w:p>
        </w:tc>
      </w:tr>
    </w:tbl>
    <w:p w14:paraId="28D92894">
      <w:pPr>
        <w:tabs>
          <w:tab w:val="left" w:pos="480"/>
        </w:tabs>
        <w:spacing w:line="360" w:lineRule="auto"/>
        <w:ind w:firstLine="420"/>
        <w:rPr>
          <w:rFonts w:hint="eastAsia" w:ascii="仿宋" w:hAnsi="仿宋" w:eastAsia="仿宋" w:cs="仿宋"/>
          <w:b/>
          <w:color w:val="auto"/>
          <w:kern w:val="1"/>
          <w:szCs w:val="21"/>
          <w:highlight w:val="none"/>
        </w:rPr>
      </w:pPr>
    </w:p>
    <w:p w14:paraId="797A5B24">
      <w:pPr>
        <w:numPr>
          <w:ilvl w:val="0"/>
          <w:numId w:val="1"/>
        </w:numPr>
        <w:tabs>
          <w:tab w:val="left" w:pos="480"/>
        </w:tabs>
        <w:spacing w:line="360" w:lineRule="auto"/>
        <w:ind w:firstLine="411"/>
        <w:rPr>
          <w:rFonts w:hint="eastAsia" w:ascii="仿宋" w:hAnsi="仿宋" w:eastAsia="仿宋" w:cs="仿宋"/>
          <w:b/>
          <w:color w:val="auto"/>
          <w:kern w:val="1"/>
          <w:szCs w:val="21"/>
          <w:highlight w:val="none"/>
        </w:rPr>
      </w:pPr>
      <w:r>
        <w:rPr>
          <w:rFonts w:hint="eastAsia" w:ascii="仿宋" w:hAnsi="仿宋" w:eastAsia="仿宋" w:cs="仿宋"/>
          <w:b/>
          <w:color w:val="auto"/>
          <w:kern w:val="1"/>
          <w:szCs w:val="21"/>
          <w:highlight w:val="none"/>
        </w:rPr>
        <w:t>合同价款</w:t>
      </w:r>
    </w:p>
    <w:p w14:paraId="26708805">
      <w:pPr>
        <w:pStyle w:val="2"/>
        <w:numPr>
          <w:ilvl w:val="0"/>
          <w:numId w:val="2"/>
        </w:numPr>
        <w:spacing w:line="36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合同总价款为人民币（大写）       元整（</w:t>
      </w:r>
      <w:r>
        <w:rPr>
          <w:rFonts w:hint="eastAsia" w:ascii="仿宋" w:hAnsi="仿宋" w:eastAsia="仿宋" w:cs="仿宋"/>
          <w:color w:val="auto"/>
          <w:sz w:val="21"/>
          <w:szCs w:val="21"/>
          <w:highlight w:val="none"/>
          <w:lang w:val="en-US" w:eastAsia="zh-CN"/>
        </w:rPr>
        <w:t>小写</w:t>
      </w:r>
      <w:r>
        <w:rPr>
          <w:rFonts w:hint="eastAsia" w:ascii="仿宋" w:hAnsi="仿宋" w:eastAsia="仿宋" w:cs="仿宋"/>
          <w:color w:val="auto"/>
          <w:sz w:val="21"/>
          <w:szCs w:val="21"/>
          <w:highlight w:val="none"/>
        </w:rPr>
        <w:t>     元）。</w:t>
      </w:r>
    </w:p>
    <w:p w14:paraId="59CC4E55">
      <w:pPr>
        <w:pStyle w:val="2"/>
        <w:numPr>
          <w:ilvl w:val="0"/>
          <w:numId w:val="2"/>
        </w:numPr>
        <w:spacing w:line="36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合同总价包括：完成本次采购货物（货物本体及附件、备品备件及专用工具）的供货、安装（包含所需的配件及辅材等）、调试、验收、培训、售后服务及税金等一切费用。</w:t>
      </w:r>
    </w:p>
    <w:p w14:paraId="2C2CCE6C">
      <w:pPr>
        <w:pStyle w:val="2"/>
        <w:numPr>
          <w:ilvl w:val="0"/>
          <w:numId w:val="2"/>
        </w:numPr>
        <w:spacing w:line="36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合同总价一次性包死，不受市场价格变化因素的影响。</w:t>
      </w:r>
    </w:p>
    <w:p w14:paraId="3A14CEFB">
      <w:pPr>
        <w:tabs>
          <w:tab w:val="left" w:pos="480"/>
        </w:tabs>
        <w:spacing w:line="360" w:lineRule="auto"/>
        <w:ind w:firstLine="411"/>
        <w:rPr>
          <w:rFonts w:hint="eastAsia" w:ascii="仿宋" w:hAnsi="仿宋" w:eastAsia="仿宋" w:cs="仿宋"/>
          <w:b/>
          <w:color w:val="auto"/>
          <w:kern w:val="1"/>
          <w:szCs w:val="21"/>
          <w:highlight w:val="none"/>
        </w:rPr>
      </w:pPr>
      <w:r>
        <w:rPr>
          <w:rFonts w:hint="eastAsia" w:ascii="仿宋" w:hAnsi="仿宋" w:eastAsia="仿宋" w:cs="仿宋"/>
          <w:b/>
          <w:color w:val="auto"/>
          <w:kern w:val="1"/>
          <w:szCs w:val="21"/>
          <w:highlight w:val="none"/>
        </w:rPr>
        <w:t>三、款项结算</w:t>
      </w:r>
    </w:p>
    <w:p w14:paraId="18CD5266">
      <w:pPr>
        <w:numPr>
          <w:ilvl w:val="-1"/>
          <w:numId w:val="0"/>
        </w:numPr>
        <w:tabs>
          <w:tab w:val="left" w:pos="480"/>
        </w:tabs>
        <w:spacing w:line="360" w:lineRule="auto"/>
        <w:ind w:firstLine="420" w:firstLineChars="0"/>
        <w:jc w:val="left"/>
        <w:textAlignment w:val="auto"/>
        <w:rPr>
          <w:rFonts w:hint="eastAsia" w:ascii="仿宋" w:hAnsi="仿宋" w:eastAsia="仿宋" w:cs="仿宋"/>
          <w:bCs w:val="0"/>
          <w:color w:val="auto"/>
          <w:kern w:val="1"/>
          <w:sz w:val="21"/>
          <w:szCs w:val="21"/>
          <w:highlight w:val="none"/>
          <w:lang w:val="en-US" w:eastAsia="zh-CN" w:bidi="ar-SA"/>
        </w:rPr>
      </w:pPr>
      <w:r>
        <w:rPr>
          <w:rFonts w:hint="eastAsia" w:ascii="仿宋" w:hAnsi="仿宋" w:eastAsia="仿宋" w:cs="仿宋"/>
          <w:bCs w:val="0"/>
          <w:color w:val="auto"/>
          <w:kern w:val="1"/>
          <w:sz w:val="21"/>
          <w:szCs w:val="21"/>
          <w:highlight w:val="none"/>
          <w:lang w:val="en-US" w:eastAsia="zh-CN" w:bidi="ar-SA"/>
        </w:rPr>
        <w:t>（一）项目通过验收合格后，达到付款条件起10日内，支付合同总金额的100%。</w:t>
      </w:r>
    </w:p>
    <w:p w14:paraId="48EC3341">
      <w:pPr>
        <w:numPr>
          <w:ilvl w:val="-1"/>
          <w:numId w:val="0"/>
        </w:numPr>
        <w:tabs>
          <w:tab w:val="left" w:pos="480"/>
        </w:tabs>
        <w:spacing w:line="360" w:lineRule="auto"/>
        <w:ind w:firstLine="420" w:firstLineChars="0"/>
        <w:jc w:val="left"/>
        <w:textAlignment w:val="auto"/>
        <w:rPr>
          <w:rFonts w:hint="eastAsia" w:ascii="仿宋" w:hAnsi="仿宋" w:eastAsia="仿宋" w:cs="仿宋"/>
          <w:bCs w:val="0"/>
          <w:color w:val="auto"/>
          <w:kern w:val="1"/>
          <w:sz w:val="21"/>
          <w:szCs w:val="21"/>
          <w:highlight w:val="none"/>
          <w:lang w:val="en-US" w:eastAsia="zh-CN" w:bidi="ar-SA"/>
        </w:rPr>
      </w:pPr>
      <w:r>
        <w:rPr>
          <w:rFonts w:hint="eastAsia" w:ascii="仿宋" w:hAnsi="仿宋" w:eastAsia="仿宋" w:cs="仿宋"/>
          <w:bCs w:val="0"/>
          <w:color w:val="auto"/>
          <w:kern w:val="1"/>
          <w:sz w:val="21"/>
          <w:szCs w:val="21"/>
          <w:highlight w:val="none"/>
          <w:lang w:val="en-US" w:eastAsia="zh-CN" w:bidi="ar-SA"/>
        </w:rPr>
        <w:t>（二）结算方式：银行转账。</w:t>
      </w:r>
    </w:p>
    <w:p w14:paraId="777CDF23">
      <w:pPr>
        <w:tabs>
          <w:tab w:val="left" w:pos="480"/>
        </w:tabs>
        <w:spacing w:line="360" w:lineRule="auto"/>
        <w:ind w:firstLine="420"/>
        <w:rPr>
          <w:rFonts w:hint="eastAsia" w:ascii="仿宋" w:hAnsi="仿宋" w:eastAsia="仿宋" w:cs="仿宋"/>
          <w:bCs w:val="0"/>
          <w:color w:val="auto"/>
          <w:kern w:val="1"/>
          <w:sz w:val="21"/>
          <w:szCs w:val="21"/>
          <w:highlight w:val="none"/>
          <w:lang w:val="en-US" w:eastAsia="zh-CN" w:bidi="ar-SA"/>
        </w:rPr>
      </w:pPr>
      <w:r>
        <w:rPr>
          <w:rFonts w:hint="eastAsia" w:ascii="仿宋" w:hAnsi="仿宋" w:eastAsia="仿宋" w:cs="仿宋"/>
          <w:bCs w:val="0"/>
          <w:color w:val="auto"/>
          <w:kern w:val="1"/>
          <w:sz w:val="21"/>
          <w:szCs w:val="21"/>
          <w:highlight w:val="none"/>
          <w:lang w:val="en-US" w:eastAsia="zh-CN" w:bidi="ar-SA"/>
        </w:rPr>
        <w:t>（四）结算单位：由采购人负责结算，供应商开具合同总价数的全额发票交采购人。</w:t>
      </w:r>
    </w:p>
    <w:p w14:paraId="454A0C85">
      <w:pPr>
        <w:tabs>
          <w:tab w:val="left" w:pos="480"/>
        </w:tabs>
        <w:spacing w:line="360" w:lineRule="auto"/>
        <w:ind w:firstLine="420"/>
        <w:rPr>
          <w:rFonts w:hint="eastAsia" w:ascii="仿宋" w:hAnsi="仿宋" w:eastAsia="仿宋" w:cs="仿宋"/>
          <w:b/>
          <w:color w:val="auto"/>
          <w:kern w:val="1"/>
          <w:szCs w:val="21"/>
          <w:highlight w:val="none"/>
        </w:rPr>
      </w:pPr>
      <w:r>
        <w:rPr>
          <w:rFonts w:hint="eastAsia" w:ascii="仿宋" w:hAnsi="仿宋" w:eastAsia="仿宋" w:cs="仿宋"/>
          <w:b/>
          <w:color w:val="auto"/>
          <w:kern w:val="1"/>
          <w:szCs w:val="21"/>
          <w:highlight w:val="none"/>
        </w:rPr>
        <w:t>四、双方的权利和义务</w:t>
      </w:r>
    </w:p>
    <w:p w14:paraId="5F922A76">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（一）甲方的权利和义务</w:t>
      </w:r>
    </w:p>
    <w:p w14:paraId="1DD976CB">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 xml:space="preserve">    甲方权利：组织使用单位严格按照</w:t>
      </w:r>
      <w:r>
        <w:rPr>
          <w:rFonts w:hint="eastAsia" w:ascii="仿宋" w:hAnsi="仿宋" w:eastAsia="仿宋" w:cs="仿宋"/>
          <w:color w:val="auto"/>
          <w:kern w:val="1"/>
          <w:szCs w:val="21"/>
          <w:highlight w:val="none"/>
          <w:lang w:eastAsia="zh-CN"/>
        </w:rPr>
        <w:t>谈判</w:t>
      </w:r>
      <w:r>
        <w:rPr>
          <w:rFonts w:hint="eastAsia" w:ascii="仿宋" w:hAnsi="仿宋" w:eastAsia="仿宋" w:cs="仿宋"/>
          <w:color w:val="auto"/>
          <w:kern w:val="1"/>
          <w:szCs w:val="21"/>
          <w:highlight w:val="none"/>
        </w:rPr>
        <w:t>文件及</w:t>
      </w:r>
      <w:r>
        <w:rPr>
          <w:rFonts w:hint="eastAsia" w:ascii="仿宋" w:hAnsi="仿宋" w:eastAsia="仿宋" w:cs="仿宋"/>
          <w:color w:val="auto"/>
          <w:kern w:val="1"/>
          <w:szCs w:val="21"/>
          <w:highlight w:val="none"/>
          <w:lang w:eastAsia="zh-CN"/>
        </w:rPr>
        <w:t>响应</w:t>
      </w:r>
      <w:r>
        <w:rPr>
          <w:rFonts w:hint="eastAsia" w:ascii="仿宋" w:hAnsi="仿宋" w:eastAsia="仿宋" w:cs="仿宋"/>
          <w:color w:val="auto"/>
          <w:kern w:val="1"/>
          <w:szCs w:val="21"/>
          <w:highlight w:val="none"/>
        </w:rPr>
        <w:t>文件要求和标准验收货物。</w:t>
      </w:r>
    </w:p>
    <w:p w14:paraId="54030A20">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 xml:space="preserve">    甲方义务：积极配合乙方验收、安装、调试工作。</w:t>
      </w:r>
    </w:p>
    <w:p w14:paraId="70F80BDC">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（二）乙方的权利和义务</w:t>
      </w:r>
    </w:p>
    <w:p w14:paraId="51E75CAE">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 xml:space="preserve">    乙方权利：按照合同约定要求甲方及时付款。</w:t>
      </w:r>
    </w:p>
    <w:p w14:paraId="31CF1124">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bCs/>
          <w:color w:val="auto"/>
          <w:kern w:val="1"/>
          <w:szCs w:val="21"/>
          <w:highlight w:val="none"/>
        </w:rPr>
        <w:t xml:space="preserve">    乙方义务：按照合同约定时间，按甲方指定地点提供货物，配合验收工作。                  </w:t>
      </w:r>
    </w:p>
    <w:p w14:paraId="0133FF22">
      <w:pPr>
        <w:tabs>
          <w:tab w:val="left" w:pos="480"/>
        </w:tabs>
        <w:spacing w:line="360" w:lineRule="auto"/>
        <w:ind w:firstLine="411"/>
        <w:rPr>
          <w:rFonts w:hint="eastAsia" w:ascii="仿宋" w:hAnsi="仿宋" w:eastAsia="仿宋" w:cs="仿宋"/>
          <w:b/>
          <w:color w:val="auto"/>
          <w:kern w:val="1"/>
          <w:szCs w:val="21"/>
          <w:highlight w:val="none"/>
        </w:rPr>
      </w:pPr>
      <w:r>
        <w:rPr>
          <w:rFonts w:hint="eastAsia" w:ascii="仿宋" w:hAnsi="仿宋" w:eastAsia="仿宋" w:cs="仿宋"/>
          <w:b/>
          <w:color w:val="auto"/>
          <w:kern w:val="1"/>
          <w:szCs w:val="21"/>
          <w:highlight w:val="none"/>
        </w:rPr>
        <w:t>五、交付条件：</w:t>
      </w:r>
    </w:p>
    <w:p w14:paraId="77D52F02">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（一）服务地点：采购人指定地点</w:t>
      </w:r>
    </w:p>
    <w:p w14:paraId="06737372">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 xml:space="preserve">（二）交付期： </w:t>
      </w:r>
      <w:r>
        <w:rPr>
          <w:rFonts w:hint="eastAsia" w:ascii="仿宋" w:hAnsi="仿宋" w:eastAsia="仿宋" w:cs="仿宋"/>
          <w:color w:val="auto"/>
          <w:kern w:val="1"/>
          <w:szCs w:val="21"/>
          <w:highlight w:val="none"/>
          <w:lang w:val="en-US" w:eastAsia="zh-CN"/>
        </w:rPr>
        <w:t xml:space="preserve">自合同签订之日起30个日历日完成全部项目内容，并交付采购人验收合格。 </w:t>
      </w:r>
    </w:p>
    <w:p w14:paraId="38A1F4D4">
      <w:pPr>
        <w:tabs>
          <w:tab w:val="left" w:pos="480"/>
        </w:tabs>
        <w:spacing w:line="360" w:lineRule="auto"/>
        <w:ind w:firstLine="411"/>
        <w:rPr>
          <w:rFonts w:hint="eastAsia" w:ascii="仿宋" w:hAnsi="仿宋" w:eastAsia="仿宋" w:cs="仿宋"/>
          <w:b/>
          <w:color w:val="auto"/>
          <w:kern w:val="1"/>
          <w:szCs w:val="21"/>
          <w:highlight w:val="none"/>
        </w:rPr>
      </w:pPr>
      <w:r>
        <w:rPr>
          <w:rFonts w:hint="eastAsia" w:ascii="仿宋" w:hAnsi="仿宋" w:eastAsia="仿宋" w:cs="仿宋"/>
          <w:b/>
          <w:color w:val="auto"/>
          <w:kern w:val="1"/>
          <w:szCs w:val="21"/>
          <w:highlight w:val="none"/>
        </w:rPr>
        <w:t>六、包装、运输、安装、调试及培训</w:t>
      </w:r>
    </w:p>
    <w:p w14:paraId="50FAA90A">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（一）包装：应采取防潮、防晒、防腐蚀、防震动及防止其它损坏的必要措施。</w:t>
      </w:r>
      <w:r>
        <w:rPr>
          <w:rFonts w:hint="eastAsia" w:ascii="仿宋" w:hAnsi="仿宋" w:eastAsia="仿宋" w:cs="仿宋"/>
          <w:color w:val="auto"/>
          <w:kern w:val="1"/>
          <w:szCs w:val="21"/>
          <w:highlight w:val="none"/>
          <w:lang w:eastAsia="zh-CN"/>
        </w:rPr>
        <w:t>成交</w:t>
      </w:r>
      <w:r>
        <w:rPr>
          <w:rFonts w:hint="eastAsia" w:ascii="仿宋" w:hAnsi="仿宋" w:eastAsia="仿宋" w:cs="仿宋"/>
          <w:color w:val="auto"/>
          <w:kern w:val="1"/>
          <w:szCs w:val="21"/>
          <w:highlight w:val="none"/>
        </w:rPr>
        <w:t>供应商应承担由于其包装或防护措施不妥而引起的货物锈蚀、损坏和丢失等任何损失造成的责任或费用。</w:t>
      </w:r>
    </w:p>
    <w:p w14:paraId="54032CF6">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（二）运输：选择运输风险小、运费低、距离短的运输路线。运杂费一次包死在总价内，包括生产厂到施工现场所需的装卸、运输（含保险费）、现场保管费、二次倒运费、吊装费等费用。</w:t>
      </w:r>
    </w:p>
    <w:p w14:paraId="5512AAE3">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（三）安装、调试及培训：乙方负责所有设备的安装、调试、培训工作，所有费用一次包死在总价内。</w:t>
      </w:r>
      <w:bookmarkStart w:id="0" w:name="_Toc167712864"/>
      <w:bookmarkEnd w:id="0"/>
      <w:bookmarkStart w:id="1" w:name="_Toc167715259"/>
      <w:bookmarkEnd w:id="1"/>
      <w:bookmarkStart w:id="2" w:name="_Toc167714062"/>
      <w:bookmarkEnd w:id="2"/>
      <w:r>
        <w:rPr>
          <w:rFonts w:hint="eastAsia" w:ascii="仿宋" w:hAnsi="仿宋" w:eastAsia="仿宋" w:cs="仿宋"/>
          <w:color w:val="auto"/>
          <w:kern w:val="1"/>
          <w:szCs w:val="21"/>
          <w:highlight w:val="none"/>
        </w:rPr>
        <w:t>每套设备安装调试完毕后，乙方必须安排技术人员对使用单位的设备管理人员进行操作应用及维护保养方面的技能培训，使其掌握基本技能。</w:t>
      </w:r>
    </w:p>
    <w:p w14:paraId="414B30B0">
      <w:pPr>
        <w:tabs>
          <w:tab w:val="left" w:pos="480"/>
        </w:tabs>
        <w:spacing w:line="360" w:lineRule="auto"/>
        <w:ind w:firstLine="411"/>
        <w:rPr>
          <w:rFonts w:hint="eastAsia" w:ascii="仿宋" w:hAnsi="仿宋" w:eastAsia="仿宋" w:cs="仿宋"/>
          <w:b/>
          <w:color w:val="auto"/>
          <w:kern w:val="1"/>
          <w:szCs w:val="21"/>
          <w:highlight w:val="none"/>
        </w:rPr>
      </w:pPr>
      <w:r>
        <w:rPr>
          <w:rFonts w:hint="eastAsia" w:ascii="仿宋" w:hAnsi="仿宋" w:eastAsia="仿宋" w:cs="仿宋"/>
          <w:b/>
          <w:color w:val="auto"/>
          <w:kern w:val="1"/>
          <w:szCs w:val="21"/>
          <w:highlight w:val="none"/>
        </w:rPr>
        <w:t>七、质量保证</w:t>
      </w:r>
    </w:p>
    <w:p w14:paraId="7BB4D5C0">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 xml:space="preserve">（一）质保期为终验合格后不少于    </w:t>
      </w:r>
      <w:r>
        <w:rPr>
          <w:rFonts w:hint="eastAsia" w:ascii="仿宋" w:hAnsi="仿宋" w:eastAsia="仿宋" w:cs="仿宋"/>
          <w:color w:val="auto"/>
          <w:kern w:val="1"/>
          <w:szCs w:val="21"/>
          <w:highlight w:val="none"/>
          <w:lang w:val="en-US" w:eastAsia="zh-CN"/>
        </w:rPr>
        <w:t>年</w:t>
      </w:r>
      <w:r>
        <w:rPr>
          <w:rFonts w:hint="eastAsia" w:ascii="仿宋" w:hAnsi="仿宋" w:eastAsia="仿宋" w:cs="仿宋"/>
          <w:color w:val="auto"/>
          <w:kern w:val="1"/>
          <w:szCs w:val="21"/>
          <w:highlight w:val="none"/>
        </w:rPr>
        <w:t>（参数中有具体要求的，按参数要求提供质保）。乙方承诺的质保时间超过</w:t>
      </w:r>
      <w:r>
        <w:rPr>
          <w:rFonts w:hint="eastAsia" w:ascii="仿宋" w:hAnsi="仿宋" w:eastAsia="仿宋" w:cs="仿宋"/>
          <w:color w:val="auto"/>
          <w:kern w:val="1"/>
          <w:szCs w:val="21"/>
          <w:highlight w:val="none"/>
          <w:lang w:val="en-US" w:eastAsia="zh-CN"/>
        </w:rPr>
        <w:t>谈判</w:t>
      </w:r>
      <w:r>
        <w:rPr>
          <w:rFonts w:hint="eastAsia" w:ascii="仿宋" w:hAnsi="仿宋" w:eastAsia="仿宋" w:cs="仿宋"/>
          <w:color w:val="auto"/>
          <w:kern w:val="1"/>
          <w:szCs w:val="21"/>
          <w:highlight w:val="none"/>
        </w:rPr>
        <w:t>文件要求的，按其承诺时间质保。</w:t>
      </w:r>
    </w:p>
    <w:p w14:paraId="1BC5CDD7">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（二）乙方承诺的质保期起始时间为终验合格之日。</w:t>
      </w:r>
    </w:p>
    <w:p w14:paraId="0046F01B">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（三）所有产品质量必须符合国家有关规范和相关政策。所有设备及辅材必须是未使用过的新产品，质量优良、渠道正当，配置合理。</w:t>
      </w:r>
    </w:p>
    <w:p w14:paraId="7CCDDB99">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（四）质保期出现的质量问题由乙方负责解决并承担所有费用。质保期后如需更换零部件，乙方应以优惠价提供。</w:t>
      </w:r>
    </w:p>
    <w:p w14:paraId="3EEEF573">
      <w:pPr>
        <w:tabs>
          <w:tab w:val="left" w:pos="480"/>
        </w:tabs>
        <w:spacing w:line="360" w:lineRule="auto"/>
        <w:ind w:firstLine="411"/>
        <w:rPr>
          <w:rFonts w:hint="eastAsia" w:ascii="仿宋" w:hAnsi="仿宋" w:eastAsia="仿宋" w:cs="仿宋"/>
          <w:b/>
          <w:color w:val="auto"/>
          <w:kern w:val="1"/>
          <w:szCs w:val="21"/>
          <w:highlight w:val="none"/>
        </w:rPr>
      </w:pPr>
      <w:r>
        <w:rPr>
          <w:rFonts w:hint="eastAsia" w:ascii="仿宋" w:hAnsi="仿宋" w:eastAsia="仿宋" w:cs="仿宋"/>
          <w:b/>
          <w:color w:val="auto"/>
          <w:kern w:val="1"/>
          <w:szCs w:val="21"/>
          <w:highlight w:val="none"/>
        </w:rPr>
        <w:t>八、售后服务</w:t>
      </w:r>
    </w:p>
    <w:p w14:paraId="08AD8BE5">
      <w:pPr>
        <w:tabs>
          <w:tab w:val="left" w:pos="480"/>
        </w:tabs>
        <w:spacing w:line="360" w:lineRule="auto"/>
        <w:ind w:firstLine="420"/>
        <w:rPr>
          <w:rFonts w:hint="eastAsia" w:ascii="仿宋" w:hAnsi="仿宋" w:eastAsia="仿宋" w:cs="仿宋"/>
          <w:color w:val="auto"/>
          <w:kern w:val="1"/>
          <w:szCs w:val="21"/>
          <w:highlight w:val="none"/>
          <w:shd w:val="clear" w:color="auto" w:fill="FFFFFF"/>
        </w:rPr>
      </w:pPr>
      <w:r>
        <w:rPr>
          <w:rFonts w:hint="eastAsia" w:ascii="仿宋" w:hAnsi="仿宋" w:eastAsia="仿宋" w:cs="仿宋"/>
          <w:color w:val="auto"/>
          <w:kern w:val="1"/>
          <w:szCs w:val="21"/>
          <w:highlight w:val="none"/>
          <w:shd w:val="clear" w:color="auto" w:fill="FFFFFF"/>
        </w:rPr>
        <w:t>乙方所供货物提供以下售后服务：</w:t>
      </w:r>
    </w:p>
    <w:p w14:paraId="20BF265A">
      <w:pPr>
        <w:tabs>
          <w:tab w:val="left" w:pos="480"/>
        </w:tabs>
        <w:spacing w:line="360" w:lineRule="auto"/>
        <w:ind w:firstLine="420"/>
        <w:rPr>
          <w:rFonts w:hint="eastAsia" w:ascii="仿宋" w:hAnsi="仿宋" w:eastAsia="仿宋" w:cs="仿宋"/>
          <w:color w:val="auto"/>
          <w:kern w:val="1"/>
          <w:szCs w:val="21"/>
          <w:highlight w:val="none"/>
          <w:shd w:val="clear" w:color="auto" w:fill="FFFFFF"/>
        </w:rPr>
      </w:pPr>
      <w:r>
        <w:rPr>
          <w:rFonts w:hint="eastAsia" w:ascii="仿宋" w:hAnsi="仿宋" w:eastAsia="仿宋" w:cs="仿宋"/>
          <w:color w:val="auto"/>
          <w:kern w:val="1"/>
          <w:szCs w:val="21"/>
          <w:highlight w:val="none"/>
          <w:shd w:val="clear" w:color="auto" w:fill="FFFFFF"/>
        </w:rPr>
        <w:t>（一）质保期内：</w:t>
      </w:r>
    </w:p>
    <w:p w14:paraId="3168D64E">
      <w:pPr>
        <w:tabs>
          <w:tab w:val="left" w:pos="480"/>
        </w:tabs>
        <w:spacing w:line="360" w:lineRule="auto"/>
        <w:ind w:firstLine="420"/>
        <w:rPr>
          <w:rFonts w:hint="eastAsia" w:ascii="仿宋" w:hAnsi="仿宋" w:eastAsia="仿宋" w:cs="仿宋"/>
          <w:color w:val="auto"/>
          <w:kern w:val="1"/>
          <w:szCs w:val="21"/>
          <w:highlight w:val="none"/>
          <w:shd w:val="clear" w:color="auto" w:fill="FFFFFF"/>
          <w:lang w:eastAsia="zh-CN"/>
        </w:rPr>
      </w:pPr>
      <w:r>
        <w:rPr>
          <w:rFonts w:hint="eastAsia" w:ascii="仿宋" w:hAnsi="仿宋" w:eastAsia="仿宋" w:cs="仿宋"/>
          <w:color w:val="auto"/>
          <w:kern w:val="1"/>
          <w:szCs w:val="21"/>
          <w:highlight w:val="none"/>
          <w:shd w:val="clear" w:color="auto" w:fill="FFFFFF"/>
        </w:rPr>
        <w:t>1、来电话咨询的售后服务需求</w:t>
      </w:r>
      <w:r>
        <w:rPr>
          <w:rFonts w:hint="eastAsia" w:ascii="仿宋" w:hAnsi="仿宋" w:eastAsia="仿宋" w:cs="仿宋"/>
          <w:color w:val="auto"/>
          <w:kern w:val="1"/>
          <w:szCs w:val="21"/>
          <w:highlight w:val="none"/>
          <w:shd w:val="clear" w:color="auto" w:fill="FFFFFF"/>
          <w:lang w:eastAsia="zh-CN"/>
        </w:rPr>
        <w:t>及时</w:t>
      </w:r>
      <w:r>
        <w:rPr>
          <w:rFonts w:hint="eastAsia" w:ascii="仿宋" w:hAnsi="仿宋" w:eastAsia="仿宋" w:cs="仿宋"/>
          <w:color w:val="auto"/>
          <w:kern w:val="1"/>
          <w:szCs w:val="21"/>
          <w:highlight w:val="none"/>
          <w:shd w:val="clear" w:color="auto" w:fill="FFFFFF"/>
        </w:rPr>
        <w:t>解答处理</w:t>
      </w:r>
      <w:r>
        <w:rPr>
          <w:rFonts w:hint="eastAsia" w:ascii="仿宋" w:hAnsi="仿宋" w:eastAsia="仿宋" w:cs="仿宋"/>
          <w:color w:val="auto"/>
          <w:kern w:val="1"/>
          <w:szCs w:val="21"/>
          <w:highlight w:val="none"/>
          <w:shd w:val="clear" w:color="auto" w:fill="FFFFFF"/>
          <w:lang w:eastAsia="zh-CN"/>
        </w:rPr>
        <w:t>。</w:t>
      </w:r>
    </w:p>
    <w:p w14:paraId="54FC79B7">
      <w:pPr>
        <w:tabs>
          <w:tab w:val="left" w:pos="480"/>
        </w:tabs>
        <w:spacing w:line="360" w:lineRule="auto"/>
        <w:ind w:left="420" w:leftChars="200" w:firstLine="0" w:firstLineChars="0"/>
        <w:rPr>
          <w:rFonts w:hint="eastAsia" w:ascii="仿宋" w:hAnsi="仿宋" w:eastAsia="仿宋" w:cs="仿宋"/>
          <w:color w:val="auto"/>
          <w:kern w:val="1"/>
          <w:szCs w:val="21"/>
          <w:highlight w:val="none"/>
          <w:shd w:val="clear" w:color="auto" w:fill="FFFFFF"/>
        </w:rPr>
      </w:pPr>
      <w:r>
        <w:rPr>
          <w:rFonts w:hint="eastAsia" w:ascii="仿宋" w:hAnsi="仿宋" w:eastAsia="仿宋" w:cs="仿宋"/>
          <w:color w:val="auto"/>
          <w:kern w:val="1"/>
          <w:szCs w:val="21"/>
          <w:highlight w:val="none"/>
          <w:shd w:val="clear" w:color="auto" w:fill="FFFFFF"/>
        </w:rPr>
        <w:t>2、出现问题需要上门售后服务的，在</w:t>
      </w:r>
      <w:r>
        <w:rPr>
          <w:rFonts w:hint="eastAsia" w:ascii="仿宋" w:hAnsi="仿宋" w:eastAsia="仿宋" w:cs="仿宋"/>
          <w:color w:val="auto"/>
          <w:kern w:val="1"/>
          <w:szCs w:val="21"/>
          <w:highlight w:val="none"/>
          <w:shd w:val="clear" w:color="auto" w:fill="FFFFFF"/>
          <w:lang w:val="en-US" w:eastAsia="zh-CN"/>
        </w:rPr>
        <w:t xml:space="preserve">    个小时</w:t>
      </w:r>
      <w:r>
        <w:rPr>
          <w:rFonts w:hint="eastAsia" w:ascii="仿宋" w:hAnsi="仿宋" w:eastAsia="仿宋" w:cs="仿宋"/>
          <w:color w:val="auto"/>
          <w:kern w:val="1"/>
          <w:szCs w:val="21"/>
          <w:highlight w:val="none"/>
          <w:shd w:val="clear" w:color="auto" w:fill="FFFFFF"/>
        </w:rPr>
        <w:t>内响应委派专业人员上门解决处理问题。</w:t>
      </w:r>
    </w:p>
    <w:p w14:paraId="557B707F">
      <w:pPr>
        <w:tabs>
          <w:tab w:val="left" w:pos="480"/>
        </w:tabs>
        <w:spacing w:line="360" w:lineRule="auto"/>
        <w:ind w:left="420" w:leftChars="200" w:firstLine="0" w:firstLineChars="0"/>
        <w:rPr>
          <w:rFonts w:hint="eastAsia" w:ascii="仿宋" w:hAnsi="仿宋" w:eastAsia="仿宋" w:cs="仿宋"/>
          <w:color w:val="auto"/>
          <w:kern w:val="1"/>
          <w:szCs w:val="21"/>
          <w:highlight w:val="none"/>
          <w:shd w:val="clear" w:color="auto" w:fill="FFFFFF"/>
        </w:rPr>
      </w:pPr>
      <w:r>
        <w:rPr>
          <w:rFonts w:hint="eastAsia" w:ascii="仿宋" w:hAnsi="仿宋" w:eastAsia="仿宋" w:cs="仿宋"/>
          <w:color w:val="auto"/>
          <w:kern w:val="1"/>
          <w:szCs w:val="21"/>
          <w:highlight w:val="none"/>
          <w:shd w:val="clear" w:color="auto" w:fill="FFFFFF"/>
        </w:rPr>
        <w:t>（二）质保期结束前，进行必要的</w:t>
      </w:r>
      <w:r>
        <w:rPr>
          <w:rFonts w:hint="eastAsia" w:ascii="仿宋" w:hAnsi="仿宋" w:eastAsia="仿宋" w:cs="仿宋"/>
          <w:color w:val="auto"/>
          <w:kern w:val="1"/>
          <w:szCs w:val="21"/>
          <w:highlight w:val="none"/>
          <w:shd w:val="clear" w:color="auto" w:fill="FFFFFF"/>
          <w:lang w:eastAsia="zh-CN"/>
        </w:rPr>
        <w:t>全面</w:t>
      </w:r>
      <w:r>
        <w:rPr>
          <w:rFonts w:hint="eastAsia" w:ascii="仿宋" w:hAnsi="仿宋" w:eastAsia="仿宋" w:cs="仿宋"/>
          <w:color w:val="auto"/>
          <w:kern w:val="1"/>
          <w:szCs w:val="21"/>
          <w:highlight w:val="none"/>
          <w:shd w:val="clear" w:color="auto" w:fill="FFFFFF"/>
        </w:rPr>
        <w:t>保养维护，确保正常运行。</w:t>
      </w:r>
    </w:p>
    <w:p w14:paraId="09962648">
      <w:pPr>
        <w:tabs>
          <w:tab w:val="left" w:pos="480"/>
        </w:tabs>
        <w:spacing w:line="360" w:lineRule="auto"/>
        <w:ind w:firstLine="420"/>
        <w:rPr>
          <w:rFonts w:hint="eastAsia" w:ascii="仿宋" w:hAnsi="仿宋" w:eastAsia="仿宋" w:cs="仿宋"/>
          <w:color w:val="auto"/>
          <w:kern w:val="1"/>
          <w:szCs w:val="21"/>
          <w:highlight w:val="none"/>
          <w:shd w:val="clear" w:color="auto" w:fill="FFFFFF"/>
        </w:rPr>
      </w:pPr>
      <w:r>
        <w:rPr>
          <w:rFonts w:hint="eastAsia" w:ascii="仿宋" w:hAnsi="仿宋" w:eastAsia="仿宋" w:cs="仿宋"/>
          <w:color w:val="auto"/>
          <w:kern w:val="1"/>
          <w:szCs w:val="21"/>
          <w:highlight w:val="none"/>
          <w:shd w:val="clear" w:color="auto" w:fill="FFFFFF"/>
        </w:rPr>
        <w:t>（三）质保期后如需更换零部件，乙方应以优惠价提供。</w:t>
      </w:r>
    </w:p>
    <w:p w14:paraId="76AF94B1">
      <w:pPr>
        <w:tabs>
          <w:tab w:val="left" w:pos="480"/>
        </w:tabs>
        <w:spacing w:line="360" w:lineRule="auto"/>
        <w:ind w:firstLine="411"/>
        <w:rPr>
          <w:rFonts w:hint="eastAsia" w:ascii="仿宋" w:hAnsi="仿宋" w:eastAsia="仿宋" w:cs="仿宋"/>
          <w:b/>
          <w:color w:val="auto"/>
          <w:kern w:val="1"/>
          <w:szCs w:val="21"/>
          <w:highlight w:val="none"/>
        </w:rPr>
      </w:pPr>
      <w:r>
        <w:rPr>
          <w:rFonts w:hint="eastAsia" w:ascii="仿宋" w:hAnsi="仿宋" w:eastAsia="仿宋" w:cs="仿宋"/>
          <w:b/>
          <w:color w:val="auto"/>
          <w:kern w:val="1"/>
          <w:szCs w:val="21"/>
          <w:highlight w:val="none"/>
        </w:rPr>
        <w:t>九、技术与服务</w:t>
      </w:r>
    </w:p>
    <w:p w14:paraId="149F5DC7">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（一）技术资料：</w:t>
      </w:r>
    </w:p>
    <w:p w14:paraId="5DD6C0F0">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1、货物合格证；</w:t>
      </w:r>
    </w:p>
    <w:p w14:paraId="25A61B94">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2、货物使用说明书（中文）；</w:t>
      </w:r>
    </w:p>
    <w:p w14:paraId="5EAD0404">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3、项目</w:t>
      </w:r>
      <w:r>
        <w:rPr>
          <w:rFonts w:hint="eastAsia" w:ascii="仿宋" w:hAnsi="仿宋" w:eastAsia="仿宋" w:cs="仿宋"/>
          <w:color w:val="auto"/>
          <w:kern w:val="1"/>
          <w:szCs w:val="21"/>
          <w:highlight w:val="none"/>
          <w:lang w:val="en-US" w:eastAsia="zh-CN"/>
        </w:rPr>
        <w:t>竣工</w:t>
      </w:r>
      <w:r>
        <w:rPr>
          <w:rFonts w:hint="eastAsia" w:ascii="仿宋" w:hAnsi="仿宋" w:eastAsia="仿宋" w:cs="仿宋"/>
          <w:color w:val="auto"/>
          <w:kern w:val="1"/>
          <w:szCs w:val="21"/>
          <w:highlight w:val="none"/>
        </w:rPr>
        <w:t>资料、检验测试报告；</w:t>
      </w:r>
    </w:p>
    <w:p w14:paraId="1C9A1051">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4、其它资料。</w:t>
      </w:r>
    </w:p>
    <w:p w14:paraId="5AF9769D">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（二）服务承诺：</w:t>
      </w:r>
    </w:p>
    <w:p w14:paraId="1B1A81C1">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1、设备（产品）安装、调试和验收：提供设备（产品）现场安装、调试，设备（产品）安装调试应在规定时间内完成；</w:t>
      </w:r>
    </w:p>
    <w:p w14:paraId="3D1DB78C">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2、培训要求：安装验收后，乙方在使用单位所在地对使用单位进行设备（产品）操作和日常维护的现场培训。包括设备（产品）原理、使用方法和维护方法等；</w:t>
      </w:r>
    </w:p>
    <w:p w14:paraId="022DC735">
      <w:pPr>
        <w:pStyle w:val="6"/>
        <w:spacing w:line="360" w:lineRule="auto"/>
        <w:ind w:firstLine="420"/>
        <w:rPr>
          <w:rFonts w:hint="eastAsia" w:ascii="仿宋" w:hAnsi="仿宋" w:eastAsia="仿宋" w:cs="仿宋"/>
          <w:color w:val="auto"/>
          <w:szCs w:val="21"/>
          <w:highlight w:val="none"/>
        </w:rPr>
      </w:pPr>
      <w:r>
        <w:rPr>
          <w:rFonts w:hint="eastAsia" w:ascii="仿宋" w:hAnsi="仿宋" w:eastAsia="仿宋" w:cs="仿宋"/>
          <w:bCs/>
          <w:color w:val="auto"/>
          <w:szCs w:val="21"/>
          <w:highlight w:val="none"/>
        </w:rPr>
        <w:t>3、以</w:t>
      </w:r>
      <w:r>
        <w:rPr>
          <w:rFonts w:hint="eastAsia" w:ascii="仿宋" w:hAnsi="仿宋" w:eastAsia="仿宋" w:cs="仿宋"/>
          <w:bCs/>
          <w:color w:val="auto"/>
          <w:szCs w:val="21"/>
          <w:highlight w:val="none"/>
          <w:lang w:eastAsia="zh-CN"/>
        </w:rPr>
        <w:t>响应</w:t>
      </w:r>
      <w:r>
        <w:rPr>
          <w:rFonts w:hint="eastAsia" w:ascii="仿宋" w:hAnsi="仿宋" w:eastAsia="仿宋" w:cs="仿宋"/>
          <w:bCs/>
          <w:color w:val="auto"/>
          <w:szCs w:val="21"/>
          <w:highlight w:val="none"/>
        </w:rPr>
        <w:t>文件、澄清表（函）、合同和随货物的相关文件为准。</w:t>
      </w:r>
    </w:p>
    <w:p w14:paraId="45B0814D">
      <w:pPr>
        <w:tabs>
          <w:tab w:val="left" w:pos="480"/>
        </w:tabs>
        <w:spacing w:line="360" w:lineRule="auto"/>
        <w:ind w:firstLine="411"/>
        <w:rPr>
          <w:rFonts w:hint="eastAsia" w:ascii="仿宋" w:hAnsi="仿宋" w:eastAsia="仿宋" w:cs="仿宋"/>
          <w:b/>
          <w:color w:val="auto"/>
          <w:kern w:val="1"/>
          <w:szCs w:val="21"/>
          <w:highlight w:val="none"/>
        </w:rPr>
      </w:pPr>
      <w:r>
        <w:rPr>
          <w:rFonts w:hint="eastAsia" w:ascii="仿宋" w:hAnsi="仿宋" w:eastAsia="仿宋" w:cs="仿宋"/>
          <w:b/>
          <w:color w:val="auto"/>
          <w:kern w:val="1"/>
          <w:szCs w:val="21"/>
          <w:highlight w:val="none"/>
        </w:rPr>
        <w:t>十、知识产权</w:t>
      </w:r>
    </w:p>
    <w:p w14:paraId="093031AA">
      <w:pPr>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1、乙方应保证在本项目使用的任何货物和服务（包括部分使用）时，不会产生因第三方提出侵犯其专利权、商标权或其它知识产权而引起的法律和经济纠纷，如因专利权、商标权或其它知识产权而引起法律纠纷和经济纠纷，由乙方承担所有相关责任。</w:t>
      </w:r>
    </w:p>
    <w:p w14:paraId="3E89D32C">
      <w:pPr>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2、乙方如欲在项目实施过程中采用自有知识成果，提供相关知识产权证明文件。使用该知识成果后，乙方须提供开发接口和开发手册等技术文档，并承诺提供无限期技术支持，甲方享有永久使用权。</w:t>
      </w:r>
    </w:p>
    <w:p w14:paraId="6F51409C">
      <w:pPr>
        <w:tabs>
          <w:tab w:val="left" w:pos="480"/>
        </w:tabs>
        <w:spacing w:line="360" w:lineRule="auto"/>
        <w:ind w:firstLine="411"/>
        <w:rPr>
          <w:rFonts w:hint="eastAsia" w:ascii="仿宋" w:hAnsi="仿宋" w:eastAsia="仿宋" w:cs="仿宋"/>
          <w:b/>
          <w:color w:val="auto"/>
          <w:kern w:val="1"/>
          <w:szCs w:val="21"/>
          <w:highlight w:val="none"/>
        </w:rPr>
      </w:pPr>
      <w:r>
        <w:rPr>
          <w:rFonts w:hint="eastAsia" w:ascii="仿宋" w:hAnsi="仿宋" w:eastAsia="仿宋" w:cs="仿宋"/>
          <w:b/>
          <w:color w:val="auto"/>
          <w:kern w:val="1"/>
          <w:szCs w:val="21"/>
          <w:highlight w:val="none"/>
        </w:rPr>
        <w:t>十一、违约责任</w:t>
      </w:r>
    </w:p>
    <w:p w14:paraId="33881164">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（一）按《政府采购法》、《</w:t>
      </w:r>
      <w:r>
        <w:rPr>
          <w:rFonts w:hint="eastAsia" w:ascii="仿宋" w:hAnsi="仿宋" w:eastAsia="仿宋" w:cs="仿宋"/>
          <w:color w:val="auto"/>
          <w:kern w:val="1"/>
          <w:szCs w:val="21"/>
          <w:highlight w:val="none"/>
          <w:lang w:val="en-US" w:eastAsia="zh-CN"/>
        </w:rPr>
        <w:t>民法典</w:t>
      </w:r>
      <w:r>
        <w:rPr>
          <w:rFonts w:hint="eastAsia" w:ascii="仿宋" w:hAnsi="仿宋" w:eastAsia="仿宋" w:cs="仿宋"/>
          <w:color w:val="auto"/>
          <w:kern w:val="1"/>
          <w:szCs w:val="21"/>
          <w:highlight w:val="none"/>
        </w:rPr>
        <w:t>》中的相关条款执行。</w:t>
      </w:r>
    </w:p>
    <w:p w14:paraId="60469583">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（二）未按合同要求提供货物或质量不能满足</w:t>
      </w:r>
      <w:r>
        <w:rPr>
          <w:rFonts w:hint="eastAsia" w:ascii="仿宋" w:hAnsi="仿宋" w:eastAsia="仿宋" w:cs="仿宋"/>
          <w:color w:val="auto"/>
          <w:kern w:val="1"/>
          <w:szCs w:val="21"/>
          <w:highlight w:val="none"/>
          <w:lang w:eastAsia="zh-CN"/>
        </w:rPr>
        <w:t>谈判</w:t>
      </w:r>
      <w:r>
        <w:rPr>
          <w:rFonts w:hint="eastAsia" w:ascii="仿宋" w:hAnsi="仿宋" w:eastAsia="仿宋" w:cs="仿宋"/>
          <w:color w:val="auto"/>
          <w:kern w:val="1"/>
          <w:szCs w:val="21"/>
          <w:highlight w:val="none"/>
        </w:rPr>
        <w:t>技术要求，乙方必须无条件更换，提高技术，完善质量，否则，甲方有权终止合同，并对乙方的违约行为报监管机构进行相应的处罚。</w:t>
      </w:r>
    </w:p>
    <w:p w14:paraId="54EE6E19">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三）如乙方未按合同规定的时间按期交付（本合同第十三款规定的不可抗力除外），在乙方同意支付核定损失额的条件下，甲方如同意延长交付期，核定损失额比率为每迟交7天（一周），按迟交付物金额的1%，不满7天按7天计算，但是，核定损失额的支付不得超过迟交付物部分合同金额的10%。如果</w:t>
      </w:r>
      <w:r>
        <w:rPr>
          <w:rFonts w:hint="eastAsia" w:ascii="仿宋" w:hAnsi="仿宋" w:eastAsia="仿宋" w:cs="仿宋"/>
          <w:color w:val="auto"/>
          <w:kern w:val="1"/>
          <w:szCs w:val="21"/>
          <w:highlight w:val="none"/>
          <w:lang w:eastAsia="zh-CN"/>
        </w:rPr>
        <w:t>成交</w:t>
      </w:r>
      <w:r>
        <w:rPr>
          <w:rFonts w:hint="eastAsia" w:ascii="仿宋" w:hAnsi="仿宋" w:eastAsia="仿宋" w:cs="仿宋"/>
          <w:color w:val="auto"/>
          <w:kern w:val="1"/>
          <w:szCs w:val="21"/>
          <w:highlight w:val="none"/>
        </w:rPr>
        <w:t>供应商在达到核定损失额的最高限额后仍不能交付，采购人有权因乙方违约终止合同，而乙方仍有义务支付上述迟交核定损失金额。</w:t>
      </w:r>
    </w:p>
    <w:p w14:paraId="428156E6">
      <w:pPr>
        <w:tabs>
          <w:tab w:val="left" w:pos="480"/>
        </w:tabs>
        <w:spacing w:line="360" w:lineRule="auto"/>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 xml:space="preserve">  </w:t>
      </w:r>
      <w:r>
        <w:rPr>
          <w:rFonts w:hint="eastAsia" w:ascii="仿宋" w:hAnsi="仿宋" w:eastAsia="仿宋" w:cs="仿宋"/>
          <w:b/>
          <w:bCs/>
          <w:color w:val="auto"/>
          <w:kern w:val="1"/>
          <w:szCs w:val="21"/>
          <w:highlight w:val="none"/>
        </w:rPr>
        <w:t xml:space="preserve"> 十二、不可抗力</w:t>
      </w:r>
    </w:p>
    <w:p w14:paraId="1F123DE5">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一）签约双方任何一方由于受不可抗力事件的影响而不能执行合同时，履行合同的期限应予以延长，其延长的期限应相当于事件所影响的时间。不可抗力事件系指买卖双方在缔结合同时所不能预见的，并且它的发生及其后果是无法避免和无法克服的事件，诸如战争、严重火灾、洪水、台风、地震等。</w:t>
      </w:r>
    </w:p>
    <w:p w14:paraId="1C257B26">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（二）受阻一方应在不可抗力事件发生后尽快用电报、传真或电传通知对方，并于事件发生后14天内将有关部门出具的证明文件用特快专递或挂号信寄给对方审阅确认。一旦不可抗力事件的影响持续120天以上， 双方应通过友好协商在合理的时间内达成进一步履行合同的协议。</w:t>
      </w:r>
    </w:p>
    <w:p w14:paraId="7F908969">
      <w:pPr>
        <w:pStyle w:val="2"/>
        <w:spacing w:line="360" w:lineRule="auto"/>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 xml:space="preserve">   十三、合同实施</w:t>
      </w:r>
    </w:p>
    <w:p w14:paraId="1040ED11">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（一）乙方应在合同签订后</w:t>
      </w:r>
      <w:r>
        <w:rPr>
          <w:rFonts w:hint="eastAsia" w:ascii="仿宋" w:hAnsi="仿宋" w:eastAsia="仿宋" w:cs="仿宋"/>
          <w:color w:val="auto"/>
          <w:kern w:val="1"/>
          <w:szCs w:val="21"/>
          <w:highlight w:val="none"/>
          <w:lang w:val="en-US" w:eastAsia="zh-CN"/>
        </w:rPr>
        <w:t xml:space="preserve">   </w:t>
      </w:r>
      <w:r>
        <w:rPr>
          <w:rFonts w:hint="eastAsia" w:ascii="仿宋" w:hAnsi="仿宋" w:eastAsia="仿宋" w:cs="仿宋"/>
          <w:color w:val="auto"/>
          <w:kern w:val="1"/>
          <w:szCs w:val="21"/>
          <w:highlight w:val="none"/>
        </w:rPr>
        <w:t>个日历日内安排人员（项目组成人员简历表所列）与使用单位就送货、培训等工作进行安排、部署。</w:t>
      </w:r>
      <w:bookmarkStart w:id="3" w:name="_Toc167712870"/>
      <w:bookmarkEnd w:id="3"/>
      <w:bookmarkStart w:id="4" w:name="_Toc167714068"/>
      <w:bookmarkEnd w:id="4"/>
      <w:bookmarkStart w:id="5" w:name="_Toc167715265"/>
      <w:bookmarkEnd w:id="5"/>
    </w:p>
    <w:p w14:paraId="2697EAD4">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bCs/>
          <w:color w:val="auto"/>
          <w:kern w:val="1"/>
          <w:szCs w:val="21"/>
          <w:highlight w:val="none"/>
        </w:rPr>
        <w:t>（二）若未能在交付期内完成合同规定的义务，由此对甲方造成的延误和一切损失，由乙方承担和赔偿。</w:t>
      </w:r>
    </w:p>
    <w:p w14:paraId="3EA54C61">
      <w:pPr>
        <w:tabs>
          <w:tab w:val="left" w:pos="480"/>
        </w:tabs>
        <w:spacing w:line="360" w:lineRule="auto"/>
        <w:ind w:firstLine="411"/>
        <w:rPr>
          <w:rFonts w:hint="eastAsia" w:ascii="仿宋" w:hAnsi="仿宋" w:eastAsia="仿宋" w:cs="仿宋"/>
          <w:b/>
          <w:color w:val="auto"/>
          <w:kern w:val="1"/>
          <w:szCs w:val="21"/>
          <w:highlight w:val="none"/>
        </w:rPr>
      </w:pPr>
      <w:r>
        <w:rPr>
          <w:rFonts w:hint="eastAsia" w:ascii="仿宋" w:hAnsi="仿宋" w:eastAsia="仿宋" w:cs="仿宋"/>
          <w:b/>
          <w:color w:val="auto"/>
          <w:kern w:val="1"/>
          <w:szCs w:val="21"/>
          <w:highlight w:val="none"/>
        </w:rPr>
        <w:t>十四、合同争议解决的方式</w:t>
      </w:r>
    </w:p>
    <w:p w14:paraId="685491F7">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本合同在履行过程中发生的争议，由甲、乙双方当事人协商解决，协商不成的按下列第（ 二 ）种方式解决：</w:t>
      </w:r>
    </w:p>
    <w:p w14:paraId="78298A7D">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（一）提交</w:t>
      </w:r>
      <w:r>
        <w:rPr>
          <w:rFonts w:hint="eastAsia" w:ascii="仿宋" w:hAnsi="仿宋" w:eastAsia="仿宋" w:cs="仿宋"/>
          <w:color w:val="auto"/>
          <w:kern w:val="1"/>
          <w:szCs w:val="21"/>
          <w:highlight w:val="none"/>
          <w:u w:val="single"/>
        </w:rPr>
        <w:t xml:space="preserve">  </w:t>
      </w:r>
      <w:r>
        <w:rPr>
          <w:rFonts w:hint="eastAsia" w:ascii="仿宋" w:hAnsi="仿宋" w:eastAsia="仿宋" w:cs="仿宋"/>
          <w:color w:val="auto"/>
          <w:kern w:val="1"/>
          <w:szCs w:val="21"/>
          <w:highlight w:val="none"/>
          <w:u w:val="single"/>
          <w:lang w:val="en-US" w:eastAsia="zh-CN"/>
        </w:rPr>
        <w:t xml:space="preserve">    </w:t>
      </w:r>
      <w:r>
        <w:rPr>
          <w:rFonts w:hint="eastAsia" w:ascii="仿宋" w:hAnsi="仿宋" w:eastAsia="仿宋" w:cs="仿宋"/>
          <w:color w:val="auto"/>
          <w:kern w:val="1"/>
          <w:szCs w:val="21"/>
          <w:highlight w:val="none"/>
          <w:u w:val="single"/>
        </w:rPr>
        <w:t xml:space="preserve">  </w:t>
      </w:r>
      <w:r>
        <w:rPr>
          <w:rFonts w:hint="eastAsia" w:ascii="仿宋" w:hAnsi="仿宋" w:eastAsia="仿宋" w:cs="仿宋"/>
          <w:color w:val="auto"/>
          <w:kern w:val="1"/>
          <w:szCs w:val="21"/>
          <w:highlight w:val="none"/>
        </w:rPr>
        <w:t>仲裁委员会仲裁；</w:t>
      </w:r>
    </w:p>
    <w:p w14:paraId="655BC6E1">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（二）依法向</w:t>
      </w:r>
      <w:r>
        <w:rPr>
          <w:rFonts w:hint="eastAsia" w:ascii="仿宋" w:hAnsi="仿宋" w:eastAsia="仿宋" w:cs="仿宋"/>
          <w:color w:val="auto"/>
          <w:kern w:val="1"/>
          <w:szCs w:val="21"/>
          <w:highlight w:val="none"/>
          <w:u w:val="single"/>
        </w:rPr>
        <w:t xml:space="preserve">  甲方  </w:t>
      </w:r>
      <w:r>
        <w:rPr>
          <w:rFonts w:hint="eastAsia" w:ascii="仿宋" w:hAnsi="仿宋" w:eastAsia="仿宋" w:cs="仿宋"/>
          <w:color w:val="auto"/>
          <w:kern w:val="1"/>
          <w:szCs w:val="21"/>
          <w:highlight w:val="none"/>
        </w:rPr>
        <w:t>所在地人民法院起诉。</w:t>
      </w:r>
    </w:p>
    <w:p w14:paraId="3C85CA06">
      <w:pPr>
        <w:tabs>
          <w:tab w:val="left" w:pos="480"/>
        </w:tabs>
        <w:spacing w:line="360" w:lineRule="auto"/>
        <w:ind w:firstLine="411"/>
        <w:rPr>
          <w:rFonts w:hint="eastAsia" w:ascii="仿宋" w:hAnsi="仿宋" w:eastAsia="仿宋" w:cs="仿宋"/>
          <w:b/>
          <w:color w:val="auto"/>
          <w:kern w:val="1"/>
          <w:szCs w:val="21"/>
          <w:highlight w:val="none"/>
        </w:rPr>
      </w:pPr>
      <w:r>
        <w:rPr>
          <w:rFonts w:hint="eastAsia" w:ascii="仿宋" w:hAnsi="仿宋" w:eastAsia="仿宋" w:cs="仿宋"/>
          <w:b/>
          <w:color w:val="auto"/>
          <w:kern w:val="1"/>
          <w:szCs w:val="21"/>
          <w:highlight w:val="none"/>
        </w:rPr>
        <w:t>十五、合同生效</w:t>
      </w:r>
    </w:p>
    <w:p w14:paraId="44F5FAD7">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本合同一式</w:t>
      </w:r>
      <w:r>
        <w:rPr>
          <w:rFonts w:hint="eastAsia" w:ascii="仿宋" w:hAnsi="仿宋" w:eastAsia="仿宋" w:cs="仿宋"/>
          <w:color w:val="auto"/>
          <w:kern w:val="1"/>
          <w:szCs w:val="21"/>
          <w:highlight w:val="none"/>
          <w:u w:val="single"/>
        </w:rPr>
        <w:t xml:space="preserve">  </w:t>
      </w:r>
      <w:r>
        <w:rPr>
          <w:rFonts w:hint="eastAsia" w:ascii="仿宋" w:hAnsi="仿宋" w:eastAsia="仿宋" w:cs="仿宋"/>
          <w:color w:val="auto"/>
          <w:kern w:val="1"/>
          <w:szCs w:val="21"/>
          <w:highlight w:val="none"/>
        </w:rPr>
        <w:t>份，甲方执</w:t>
      </w:r>
      <w:r>
        <w:rPr>
          <w:rFonts w:hint="eastAsia" w:ascii="仿宋" w:hAnsi="仿宋" w:eastAsia="仿宋" w:cs="仿宋"/>
          <w:color w:val="auto"/>
          <w:kern w:val="1"/>
          <w:szCs w:val="21"/>
          <w:highlight w:val="none"/>
          <w:u w:val="single"/>
        </w:rPr>
        <w:t xml:space="preserve">  </w:t>
      </w:r>
      <w:r>
        <w:rPr>
          <w:rFonts w:hint="eastAsia" w:ascii="仿宋" w:hAnsi="仿宋" w:eastAsia="仿宋" w:cs="仿宋"/>
          <w:color w:val="auto"/>
          <w:kern w:val="1"/>
          <w:szCs w:val="21"/>
          <w:highlight w:val="none"/>
        </w:rPr>
        <w:t>份，乙方执</w:t>
      </w:r>
      <w:r>
        <w:rPr>
          <w:rFonts w:hint="eastAsia" w:ascii="仿宋" w:hAnsi="仿宋" w:eastAsia="仿宋" w:cs="仿宋"/>
          <w:color w:val="auto"/>
          <w:kern w:val="1"/>
          <w:szCs w:val="21"/>
          <w:highlight w:val="none"/>
          <w:u w:val="single"/>
        </w:rPr>
        <w:t xml:space="preserve">  </w:t>
      </w:r>
      <w:r>
        <w:rPr>
          <w:rFonts w:hint="eastAsia" w:ascii="仿宋" w:hAnsi="仿宋" w:eastAsia="仿宋" w:cs="仿宋"/>
          <w:color w:val="auto"/>
          <w:kern w:val="1"/>
          <w:szCs w:val="21"/>
          <w:highlight w:val="none"/>
        </w:rPr>
        <w:t>份，陕西省财政厅政府采购管理处备案</w:t>
      </w:r>
      <w:r>
        <w:rPr>
          <w:rFonts w:hint="eastAsia" w:ascii="仿宋" w:hAnsi="仿宋" w:eastAsia="仿宋" w:cs="仿宋"/>
          <w:color w:val="auto"/>
          <w:kern w:val="1"/>
          <w:szCs w:val="21"/>
          <w:highlight w:val="none"/>
          <w:u w:val="single"/>
        </w:rPr>
        <w:t xml:space="preserve">  </w:t>
      </w:r>
      <w:r>
        <w:rPr>
          <w:rFonts w:hint="eastAsia" w:ascii="仿宋" w:hAnsi="仿宋" w:eastAsia="仿宋" w:cs="仿宋"/>
          <w:color w:val="auto"/>
          <w:kern w:val="1"/>
          <w:szCs w:val="21"/>
          <w:highlight w:val="none"/>
        </w:rPr>
        <w:t>份，本合同甲、乙方签字盖章后生效，合同执行完毕后，自动失效（合同的服务承诺则长期有效）。</w:t>
      </w:r>
    </w:p>
    <w:p w14:paraId="5860AA7F">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（一）</w:t>
      </w:r>
      <w:r>
        <w:rPr>
          <w:rFonts w:hint="eastAsia" w:ascii="仿宋" w:hAnsi="仿宋" w:eastAsia="仿宋" w:cs="仿宋"/>
          <w:color w:val="auto"/>
          <w:kern w:val="1"/>
          <w:szCs w:val="21"/>
          <w:highlight w:val="none"/>
          <w:lang w:val="en-US" w:eastAsia="zh-CN"/>
        </w:rPr>
        <w:t>西安市阎良区财政局采购中心</w:t>
      </w:r>
      <w:r>
        <w:rPr>
          <w:rFonts w:hint="eastAsia" w:ascii="仿宋" w:hAnsi="仿宋" w:eastAsia="仿宋" w:cs="仿宋"/>
          <w:color w:val="auto"/>
          <w:kern w:val="1"/>
          <w:szCs w:val="21"/>
          <w:highlight w:val="none"/>
        </w:rPr>
        <w:t>在合同的履行期间以及履行期后，可以随时检查项目的执行情况，对采购内容、标准进行调查核实，并对发现的问题进行处理。</w:t>
      </w:r>
    </w:p>
    <w:p w14:paraId="1FE7AC64">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（二）</w:t>
      </w:r>
      <w:r>
        <w:rPr>
          <w:rFonts w:hint="eastAsia" w:ascii="仿宋" w:hAnsi="仿宋" w:eastAsia="仿宋" w:cs="仿宋"/>
          <w:color w:val="auto"/>
          <w:kern w:val="1"/>
          <w:szCs w:val="21"/>
          <w:highlight w:val="none"/>
          <w:lang w:eastAsia="zh-CN"/>
        </w:rPr>
        <w:t>谈判</w:t>
      </w:r>
      <w:r>
        <w:rPr>
          <w:rFonts w:hint="eastAsia" w:ascii="仿宋" w:hAnsi="仿宋" w:eastAsia="仿宋" w:cs="仿宋"/>
          <w:color w:val="auto"/>
          <w:kern w:val="1"/>
          <w:szCs w:val="21"/>
          <w:highlight w:val="none"/>
        </w:rPr>
        <w:t>文件、</w:t>
      </w:r>
      <w:r>
        <w:rPr>
          <w:rFonts w:hint="eastAsia" w:ascii="仿宋" w:hAnsi="仿宋" w:eastAsia="仿宋" w:cs="仿宋"/>
          <w:color w:val="auto"/>
          <w:kern w:val="1"/>
          <w:szCs w:val="21"/>
          <w:highlight w:val="none"/>
          <w:lang w:eastAsia="zh-CN"/>
        </w:rPr>
        <w:t>响应</w:t>
      </w:r>
      <w:r>
        <w:rPr>
          <w:rFonts w:hint="eastAsia" w:ascii="仿宋" w:hAnsi="仿宋" w:eastAsia="仿宋" w:cs="仿宋"/>
          <w:color w:val="auto"/>
          <w:kern w:val="1"/>
          <w:szCs w:val="21"/>
          <w:highlight w:val="none"/>
        </w:rPr>
        <w:t>文件、澄清表（函）、</w:t>
      </w:r>
      <w:r>
        <w:rPr>
          <w:rFonts w:hint="eastAsia" w:ascii="仿宋" w:hAnsi="仿宋" w:eastAsia="仿宋" w:cs="仿宋"/>
          <w:color w:val="auto"/>
          <w:kern w:val="1"/>
          <w:szCs w:val="21"/>
          <w:highlight w:val="none"/>
          <w:lang w:eastAsia="zh-CN"/>
        </w:rPr>
        <w:t>成交</w:t>
      </w:r>
      <w:r>
        <w:rPr>
          <w:rFonts w:hint="eastAsia" w:ascii="仿宋" w:hAnsi="仿宋" w:eastAsia="仿宋" w:cs="仿宋"/>
          <w:color w:val="auto"/>
          <w:kern w:val="1"/>
          <w:szCs w:val="21"/>
          <w:highlight w:val="none"/>
        </w:rPr>
        <w:t>通知书、合同附件均成为合同不可分割的部分。</w:t>
      </w:r>
    </w:p>
    <w:p w14:paraId="0AA9476E">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（三）合同未尽事宜，由甲、乙</w:t>
      </w:r>
      <w:r>
        <w:rPr>
          <w:rFonts w:hint="eastAsia" w:ascii="仿宋" w:hAnsi="仿宋" w:eastAsia="仿宋" w:cs="仿宋"/>
          <w:color w:val="auto"/>
          <w:kern w:val="1"/>
          <w:szCs w:val="21"/>
          <w:highlight w:val="none"/>
          <w:lang w:eastAsia="zh-CN"/>
        </w:rPr>
        <w:t>、</w:t>
      </w:r>
      <w:r>
        <w:rPr>
          <w:rFonts w:hint="eastAsia" w:ascii="仿宋" w:hAnsi="仿宋" w:eastAsia="仿宋" w:cs="仿宋"/>
          <w:color w:val="auto"/>
          <w:kern w:val="1"/>
          <w:szCs w:val="21"/>
          <w:highlight w:val="none"/>
          <w:lang w:val="en-US" w:eastAsia="zh-CN"/>
        </w:rPr>
        <w:t>丙</w:t>
      </w:r>
      <w:r>
        <w:rPr>
          <w:rFonts w:hint="eastAsia" w:ascii="仿宋" w:hAnsi="仿宋" w:eastAsia="仿宋" w:cs="仿宋"/>
          <w:color w:val="auto"/>
          <w:kern w:val="1"/>
          <w:szCs w:val="21"/>
          <w:highlight w:val="none"/>
        </w:rPr>
        <w:t>双方协商并确认后，作为合同补充，与原合同具有同等法律效力。</w:t>
      </w:r>
    </w:p>
    <w:p w14:paraId="5B7F090F">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（四）合同一经签订，不得擅自变更、中止或终止合同。对确需变更、调整或中止、终止合同的，应按规定履行相应的手续。</w:t>
      </w:r>
    </w:p>
    <w:p w14:paraId="474940A8">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（五）本合同按照中华人民共和国的现行法律进行解释。</w:t>
      </w:r>
    </w:p>
    <w:p w14:paraId="2BBF7A01">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（以下无正文）</w:t>
      </w:r>
    </w:p>
    <w:p w14:paraId="235AE651">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甲  方（盖章）                             乙  方（盖章）</w:t>
      </w:r>
    </w:p>
    <w:p w14:paraId="34D957A9">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单位名称：                                 单位名称：</w:t>
      </w:r>
    </w:p>
    <w:p w14:paraId="3EDFB472">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地  址：                                   地  址：</w:t>
      </w:r>
    </w:p>
    <w:p w14:paraId="2A96040B">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法定代表人                                 法定代表人</w:t>
      </w:r>
    </w:p>
    <w:p w14:paraId="0B638BC6">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或授权委托人（签字或盖章）：               或授权委托人（签字或盖章）：</w:t>
      </w:r>
    </w:p>
    <w:p w14:paraId="465C836D">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 xml:space="preserve">                                           开户银行：</w:t>
      </w:r>
    </w:p>
    <w:p w14:paraId="015A26FD">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 xml:space="preserve">                                           账  号：       </w:t>
      </w:r>
    </w:p>
    <w:p w14:paraId="2F24BAF3">
      <w:pPr>
        <w:tabs>
          <w:tab w:val="left" w:pos="480"/>
        </w:tabs>
        <w:spacing w:line="360" w:lineRule="auto"/>
        <w:ind w:firstLine="420"/>
        <w:rPr>
          <w:rFonts w:hint="eastAsia" w:ascii="仿宋" w:hAnsi="仿宋" w:eastAsia="仿宋" w:cs="仿宋"/>
          <w:color w:val="auto"/>
          <w:kern w:val="1"/>
          <w:szCs w:val="21"/>
          <w:highlight w:val="none"/>
        </w:rPr>
      </w:pPr>
      <w:r>
        <w:rPr>
          <w:rFonts w:hint="eastAsia" w:ascii="仿宋" w:hAnsi="仿宋" w:eastAsia="仿宋" w:cs="仿宋"/>
          <w:color w:val="auto"/>
          <w:kern w:val="1"/>
          <w:szCs w:val="21"/>
          <w:highlight w:val="none"/>
        </w:rPr>
        <w:t>联系电话：                                 联系电话：</w:t>
      </w:r>
    </w:p>
    <w:p w14:paraId="350551A5">
      <w:pPr>
        <w:spacing w:before="156" w:beforeLines="50" w:after="156" w:afterLines="50" w:line="360" w:lineRule="auto"/>
        <w:jc w:val="left"/>
        <w:rPr>
          <w:rFonts w:hint="eastAsia" w:ascii="仿宋" w:hAnsi="仿宋" w:eastAsia="仿宋" w:cs="仿宋"/>
          <w:b/>
          <w:bCs/>
          <w:color w:val="auto"/>
          <w:spacing w:val="4"/>
          <w:sz w:val="24"/>
          <w:szCs w:val="24"/>
          <w:highlight w:val="none"/>
        </w:rPr>
      </w:pPr>
      <w:r>
        <w:rPr>
          <w:rFonts w:hint="eastAsia" w:ascii="仿宋" w:hAnsi="仿宋" w:eastAsia="仿宋" w:cs="仿宋"/>
          <w:bCs/>
          <w:color w:val="auto"/>
          <w:kern w:val="1"/>
          <w:sz w:val="22"/>
          <w:szCs w:val="18"/>
          <w:highlight w:val="none"/>
        </w:rPr>
        <w:t xml:space="preserve">签订日期：     年    月      日  </w:t>
      </w:r>
      <w:r>
        <w:rPr>
          <w:rFonts w:hint="eastAsia" w:ascii="仿宋" w:hAnsi="仿宋" w:eastAsia="仿宋" w:cs="仿宋"/>
          <w:bCs/>
          <w:color w:val="auto"/>
          <w:kern w:val="1"/>
          <w:sz w:val="22"/>
          <w:szCs w:val="18"/>
          <w:highlight w:val="none"/>
          <w:lang w:val="en-US" w:eastAsia="zh-CN"/>
        </w:rPr>
        <w:t xml:space="preserve">          </w:t>
      </w:r>
      <w:r>
        <w:rPr>
          <w:rFonts w:hint="eastAsia" w:ascii="仿宋" w:hAnsi="仿宋" w:eastAsia="仿宋" w:cs="仿宋"/>
          <w:bCs/>
          <w:color w:val="auto"/>
          <w:kern w:val="1"/>
          <w:sz w:val="22"/>
          <w:szCs w:val="18"/>
          <w:highlight w:val="none"/>
        </w:rPr>
        <w:t>签订日期：     年    月   日</w:t>
      </w:r>
    </w:p>
    <w:p w14:paraId="1405136C">
      <w:pPr>
        <w:pStyle w:val="2"/>
        <w:rPr>
          <w:rFonts w:hint="eastAsia" w:ascii="仿宋" w:hAnsi="仿宋" w:eastAsia="仿宋" w:cs="仿宋"/>
          <w:color w:val="auto"/>
          <w:highlight w:val="none"/>
        </w:rPr>
      </w:pPr>
    </w:p>
    <w:p w14:paraId="7CBEE774"/>
    <w:p w14:paraId="63D5A924">
      <w:pPr>
        <w:pStyle w:val="7"/>
      </w:pPr>
    </w:p>
    <w:p w14:paraId="4B586679">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MingLiU_HKSCS">
    <w:altName w:val="MingLiU-ExtB"/>
    <w:panose1 w:val="00000000000000000000"/>
    <w:charset w:val="88"/>
    <w:family w:val="roman"/>
    <w:pitch w:val="default"/>
    <w:sig w:usb0="00000000" w:usb1="00000000"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7AAF05"/>
    <w:multiLevelType w:val="singleLevel"/>
    <w:tmpl w:val="9D7AAF05"/>
    <w:lvl w:ilvl="0" w:tentative="0">
      <w:start w:val="2"/>
      <w:numFmt w:val="chineseCounting"/>
      <w:suff w:val="nothing"/>
      <w:lvlText w:val="%1、"/>
      <w:lvlJc w:val="left"/>
      <w:rPr>
        <w:rFonts w:hint="eastAsia"/>
      </w:rPr>
    </w:lvl>
  </w:abstractNum>
  <w:abstractNum w:abstractNumId="1">
    <w:nsid w:val="30D38FA9"/>
    <w:multiLevelType w:val="singleLevel"/>
    <w:tmpl w:val="30D38FA9"/>
    <w:lvl w:ilvl="0" w:tentative="0">
      <w:start w:val="1"/>
      <w:numFmt w:val="chineseCounting"/>
      <w:suff w:val="nothing"/>
      <w:lvlText w:val="（%1）"/>
      <w:lvlJc w:val="left"/>
      <w:pPr>
        <w:ind w:left="33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59733B"/>
    <w:rsid w:val="77597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0"/>
    <w:pPr>
      <w:spacing w:line="324" w:lineRule="auto"/>
    </w:pPr>
    <w:rPr>
      <w:color w:val="993300"/>
      <w:sz w:val="24"/>
    </w:rPr>
  </w:style>
  <w:style w:type="paragraph" w:styleId="3">
    <w:name w:val="Plain Text"/>
    <w:qFormat/>
    <w:uiPriority w:val="99"/>
    <w:pPr>
      <w:widowControl w:val="0"/>
      <w:spacing w:line="324" w:lineRule="auto"/>
      <w:jc w:val="both"/>
    </w:pPr>
    <w:rPr>
      <w:rFonts w:ascii="宋体" w:hAnsi="Courier New" w:eastAsia="仿宋" w:cs="Times New Roman"/>
      <w:kern w:val="2"/>
      <w:sz w:val="32"/>
      <w:szCs w:val="21"/>
      <w:lang w:val="en-US" w:eastAsia="zh-CN" w:bidi="ar-SA"/>
    </w:rPr>
  </w:style>
  <w:style w:type="paragraph" w:customStyle="1" w:styleId="6">
    <w:name w:val="样式 10 磅"/>
    <w:qFormat/>
    <w:uiPriority w:val="0"/>
    <w:pPr>
      <w:widowControl w:val="0"/>
      <w:jc w:val="both"/>
    </w:pPr>
    <w:rPr>
      <w:rFonts w:ascii="宋体" w:hAnsi="宋体" w:eastAsia="Times New Roman" w:cs="Times New Roman"/>
      <w:kern w:val="2"/>
      <w:sz w:val="21"/>
      <w:szCs w:val="24"/>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2025-10-13T03:32:00Z</dcterms:created>
  <dc:creator>崔艳婷</dc:creator>
  <cp:lastModifiedBy>崔艳婷</cp:lastModifiedBy>
  <dcterms:modified xsi:type="dcterms:W3CDTF">2025-10-13T03:32:38Z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58EA1CE2806347BEAA4ABBE0D0928FB7_11</vt:lpwstr>
  </property>
  <property fmtid="{D5CDD505-2E9C-101B-9397-08002B2CF9AE}" pid="4" name="KSOTemplateDocerSaveRecord">
    <vt:lpwstr>eyJoZGlkIjoiZDEwZTdiZGE1ZTY1M2RmMDVhNzhiYzBiYjY1MGFiNGMiLCJ1c2VySWQiOiIzNzE4NzY3NzQifQ==</vt:lpwstr>
  </property>
</Properties>
</file>