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版本号：ZJGS-ZB-2026（11）20260204001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2024年度阎良区小型农田水利项目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ZJGS-ZB-2026（11）</w:t>
      </w:r>
      <w:r>
        <w:br/>
      </w:r>
      <w:r>
        <w:br/>
      </w:r>
      <w:r>
        <w:br/>
      </w:r>
    </w:p>
    <w:p>
      <w:pPr>
        <w:pStyle w:val="null3"/>
        <w:jc w:val="center"/>
        <w:outlineLvl w:val="2"/>
      </w:pPr>
      <w:r>
        <w:rPr>
          <w:rFonts w:ascii="仿宋_GB2312" w:hAnsi="仿宋_GB2312" w:cs="仿宋_GB2312" w:eastAsia="仿宋_GB2312"/>
          <w:sz w:val="28"/>
          <w:b/>
        </w:rPr>
        <w:t>西安市阎良区农业农村和林业局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西安市阎良区农业农村和林业局</w:t>
      </w:r>
      <w:r>
        <w:rPr>
          <w:rFonts w:ascii="仿宋_GB2312" w:hAnsi="仿宋_GB2312" w:cs="仿宋_GB2312" w:eastAsia="仿宋_GB2312"/>
        </w:rPr>
        <w:t>委托，拟对</w:t>
      </w:r>
      <w:r>
        <w:rPr>
          <w:rFonts w:ascii="仿宋_GB2312" w:hAnsi="仿宋_GB2312" w:cs="仿宋_GB2312" w:eastAsia="仿宋_GB2312"/>
        </w:rPr>
        <w:t>2024年度阎良区小型农田水利项目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2024年度阎良区小型农田水利项目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2024年第一批市级农业农村发展专项资金项目小型农田水利工程，阎良区共计建设农田高效灌溉面积1380亩，其中新兴街道咀子村1180亩，新华路街道农兴村200亩；建设修复咀子村抽水站一座，敷设田间输水管网4536米，设出水桩80座，通过泵站提水至田间输水管网实施灌溉，维修田间渠道360米；修复新建新华路街道农兴村田间灌溉渠道500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采购包1（2024年度阎良区小型农田水利项目）：属于专门面向中小企业采购。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供应商应授权合法的人员参加磋商全过程：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供应商提供健全的财务会计制度的证明材料：供应商须提供2024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4、纳税证明：供应商提交响应文件截止时间前一年内至少一个月的纳税证明或完税证明，纳税证明或完税证明上应有代收机构或税务机关的公章或业务专用章。（依法免税的供应商应提供相应文件证明）。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保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6、资质证书：供应商须具备建设行政主管部门颁发的水利水电工程施工总承包三级及以上资质，同时具有有效的安全生产许可证。</w:t>
      </w:r>
    </w:p>
    <w:p>
      <w:pPr>
        <w:pStyle w:val="null3"/>
      </w:pPr>
      <w:r>
        <w:rPr>
          <w:rFonts w:ascii="仿宋_GB2312" w:hAnsi="仿宋_GB2312" w:cs="仿宋_GB2312" w:eastAsia="仿宋_GB2312"/>
        </w:rPr>
        <w:t>7、拟派项目负责人资质及专业要求：证书等级：二级及以上注册建造师资格 专业：水利水电工程专业 补充说明：拟派本工程项目经理须具备水利水电工程专业二级及以上注册建造师资格，同时具有合格有效的安全生产考核合格证（B证）,本单位注册且无在建工程。</w:t>
      </w:r>
    </w:p>
    <w:p>
      <w:pPr>
        <w:pStyle w:val="null3"/>
      </w:pPr>
      <w:r>
        <w:rPr>
          <w:rFonts w:ascii="仿宋_GB2312" w:hAnsi="仿宋_GB2312" w:cs="仿宋_GB2312" w:eastAsia="仿宋_GB2312"/>
        </w:rPr>
        <w:t>8、无失信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9、书面声明：提供参加政府采购活动前3年内在经营活动中没有重大违法记录的书面声明。</w:t>
      </w:r>
    </w:p>
    <w:p>
      <w:pPr>
        <w:pStyle w:val="null3"/>
      </w:pPr>
      <w:r>
        <w:rPr>
          <w:rFonts w:ascii="仿宋_GB2312" w:hAnsi="仿宋_GB2312" w:cs="仿宋_GB2312" w:eastAsia="仿宋_GB2312"/>
        </w:rPr>
        <w:t>10、承诺函：提供具有履行本合同所必需的设备和专业技术能力的承诺函。</w:t>
      </w:r>
    </w:p>
    <w:p>
      <w:pPr>
        <w:pStyle w:val="null3"/>
      </w:pPr>
      <w:r>
        <w:rPr>
          <w:rFonts w:ascii="仿宋_GB2312" w:hAnsi="仿宋_GB2312" w:cs="仿宋_GB2312" w:eastAsia="仿宋_GB2312"/>
        </w:rPr>
        <w:t>11、其他：本项目不接受联合体磋商，单位负责人为同一人或者存在控股、管理关系的不同单位不得同时参加磋商，提供承诺或相关说明并加盖公章。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西安市阎良区农业农村和林业局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西安市阎良区凤凰东路29号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18792663000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西安市未央区汉城街道凤城十一路与文景路交汇处文景商务广场C座18楼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杨梅英、李彤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18829517279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采购包1：990,526.00元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代理服务费收费标准：招标代理服务费按国家计划委员会文件《招标代理服务收费管理暂行办法》（计价格[2002]1980号）规定的标准计取；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西安市阎良区农业农村和林业局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西安市阎良区农业农村和林业局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西安市阎良区农业农村和林业局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联系人：杨梅英、李彤</w:t>
      </w:r>
    </w:p>
    <w:p>
      <w:pPr>
        <w:pStyle w:val="null3"/>
      </w:pPr>
      <w:r>
        <w:rPr>
          <w:rFonts w:ascii="仿宋_GB2312" w:hAnsi="仿宋_GB2312" w:cs="仿宋_GB2312" w:eastAsia="仿宋_GB2312"/>
        </w:rPr>
        <w:t>联系电话：18829517279</w:t>
      </w:r>
    </w:p>
    <w:p>
      <w:pPr>
        <w:pStyle w:val="null3"/>
      </w:pPr>
      <w:r>
        <w:rPr>
          <w:rFonts w:ascii="仿宋_GB2312" w:hAnsi="仿宋_GB2312" w:cs="仿宋_GB2312" w:eastAsia="仿宋_GB2312"/>
        </w:rPr>
        <w:t>地址：西安市未央区汉城街道凤城十一路与文景路交汇处文景商务广场C座18楼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990,526.00</w:t>
      </w:r>
    </w:p>
    <w:p>
      <w:pPr>
        <w:pStyle w:val="null3"/>
      </w:pPr>
      <w:r>
        <w:rPr>
          <w:rFonts w:ascii="仿宋_GB2312" w:hAnsi="仿宋_GB2312" w:cs="仿宋_GB2312" w:eastAsia="仿宋_GB2312"/>
        </w:rPr>
        <w:t>采购包最高限价（元）: 990,526.00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2024年度阎良区小型农田水利项目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990,526.00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标的名称：2024年度阎良区小型农田水利项目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8"/>
                <w:b/>
              </w:rPr>
              <w:t>一、项目概况</w:t>
            </w:r>
          </w:p>
          <w:p>
            <w:pPr>
              <w:pStyle w:val="null3"/>
              <w:ind w:firstLine="480"/>
            </w:pPr>
            <w:r>
              <w:rPr>
                <w:rFonts w:ascii="仿宋_GB2312" w:hAnsi="仿宋_GB2312" w:cs="仿宋_GB2312" w:eastAsia="仿宋_GB2312"/>
                <w:sz w:val="24"/>
              </w:rPr>
              <w:t>本项目为</w:t>
            </w:r>
            <w:r>
              <w:rPr>
                <w:rFonts w:ascii="仿宋_GB2312" w:hAnsi="仿宋_GB2312" w:cs="仿宋_GB2312" w:eastAsia="仿宋_GB2312"/>
                <w:sz w:val="24"/>
              </w:rPr>
              <w:t>2024年第一批市级农业农村发展专项资金项目小型农田水利工程，阎良区共计建设农田高效灌溉面积1380亩，其中新兴街道咀子村1180亩，新华路街道农兴村200亩；建设修复咀子村抽水站一座，敷设田间输水管网4536米，设出水桩80座，通过泵站提水至田间输水管网实施灌溉，维修田间渠道360米；修复新建新华路街道农兴村田间灌溉渠道500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rPr>
              <w:t>二、工程内容和施工地点、计划工期、缺陷责任期、质量保修期</w:t>
            </w:r>
          </w:p>
          <w:p>
            <w:pPr>
              <w:pStyle w:val="null3"/>
              <w:ind w:firstLine="480"/>
            </w:pPr>
            <w:r>
              <w:rPr>
                <w:rFonts w:ascii="仿宋_GB2312" w:hAnsi="仿宋_GB2312" w:cs="仿宋_GB2312" w:eastAsia="仿宋_GB2312"/>
                <w:sz w:val="24"/>
              </w:rPr>
              <w:t>（一）工程内容：</w:t>
            </w:r>
            <w:r>
              <w:rPr>
                <w:rFonts w:ascii="仿宋_GB2312" w:hAnsi="仿宋_GB2312" w:cs="仿宋_GB2312" w:eastAsia="仿宋_GB2312"/>
                <w:sz w:val="24"/>
              </w:rPr>
              <w:t>工程量清单及图纸的全部内容；</w:t>
            </w:r>
          </w:p>
          <w:p>
            <w:pPr>
              <w:pStyle w:val="null3"/>
              <w:ind w:firstLine="480"/>
            </w:pPr>
            <w:r>
              <w:rPr>
                <w:rFonts w:ascii="仿宋_GB2312" w:hAnsi="仿宋_GB2312" w:cs="仿宋_GB2312" w:eastAsia="仿宋_GB2312"/>
                <w:sz w:val="24"/>
              </w:rPr>
              <w:t>（二）工程地点</w:t>
            </w:r>
            <w:r>
              <w:rPr>
                <w:rFonts w:ascii="仿宋_GB2312" w:hAnsi="仿宋_GB2312" w:cs="仿宋_GB2312" w:eastAsia="仿宋_GB2312"/>
                <w:sz w:val="24"/>
              </w:rPr>
              <w:t>：</w:t>
            </w:r>
            <w:r>
              <w:rPr>
                <w:rFonts w:ascii="仿宋_GB2312" w:hAnsi="仿宋_GB2312" w:cs="仿宋_GB2312" w:eastAsia="仿宋_GB2312"/>
                <w:sz w:val="24"/>
              </w:rPr>
              <w:t>新兴街道咀子村、新华路街道农兴村。</w:t>
            </w:r>
          </w:p>
          <w:p>
            <w:pPr>
              <w:pStyle w:val="null3"/>
              <w:ind w:firstLine="480"/>
            </w:pPr>
            <w:r>
              <w:rPr>
                <w:rFonts w:ascii="仿宋_GB2312" w:hAnsi="仿宋_GB2312" w:cs="仿宋_GB2312" w:eastAsia="仿宋_GB2312"/>
                <w:sz w:val="24"/>
              </w:rPr>
              <w:t>（三）计划工期：自进场之日起</w:t>
            </w:r>
            <w:r>
              <w:rPr>
                <w:rFonts w:ascii="仿宋_GB2312" w:hAnsi="仿宋_GB2312" w:cs="仿宋_GB2312" w:eastAsia="仿宋_GB2312"/>
                <w:sz w:val="24"/>
              </w:rPr>
              <w:t>90</w:t>
            </w:r>
            <w:r>
              <w:rPr>
                <w:rFonts w:ascii="仿宋_GB2312" w:hAnsi="仿宋_GB2312" w:cs="仿宋_GB2312" w:eastAsia="仿宋_GB2312"/>
                <w:sz w:val="24"/>
              </w:rPr>
              <w:t>个日历日内竣工。</w:t>
            </w:r>
          </w:p>
          <w:p>
            <w:pPr>
              <w:pStyle w:val="null3"/>
              <w:ind w:firstLine="480"/>
            </w:pPr>
            <w:r>
              <w:rPr>
                <w:rFonts w:ascii="仿宋_GB2312" w:hAnsi="仿宋_GB2312" w:cs="仿宋_GB2312" w:eastAsia="仿宋_GB2312"/>
                <w:sz w:val="24"/>
              </w:rPr>
              <w:t>（四）缺陷责任期：</w:t>
            </w:r>
            <w:r>
              <w:rPr>
                <w:rFonts w:ascii="仿宋_GB2312" w:hAnsi="仿宋_GB2312" w:cs="仿宋_GB2312" w:eastAsia="仿宋_GB2312"/>
                <w:sz w:val="24"/>
              </w:rPr>
              <w:t>质保期间履行好质保责任</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（五）质量保修期：见《水利工程质量管理规定》。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20"/>
              <w:jc w:val="both"/>
            </w:pPr>
            <w:r>
              <w:rPr>
                <w:rFonts w:ascii="仿宋_GB2312" w:hAnsi="仿宋_GB2312" w:cs="仿宋_GB2312" w:eastAsia="仿宋_GB2312"/>
                <w:sz w:val="28"/>
                <w:b/>
              </w:rPr>
              <w:t>三、工程量编制依据及说明</w:t>
            </w:r>
          </w:p>
          <w:p>
            <w:pPr>
              <w:pStyle w:val="null3"/>
              <w:ind w:firstLine="480"/>
            </w:pPr>
            <w:r>
              <w:rPr>
                <w:rFonts w:ascii="仿宋_GB2312" w:hAnsi="仿宋_GB2312" w:cs="仿宋_GB2312" w:eastAsia="仿宋_GB2312"/>
                <w:sz w:val="28"/>
                <w:b/>
              </w:rPr>
              <w:t>（1）、编制依据</w:t>
            </w:r>
            <w:r>
              <w:rPr>
                <w:rFonts w:ascii="仿宋_GB2312" w:hAnsi="仿宋_GB2312" w:cs="仿宋_GB2312" w:eastAsia="仿宋_GB2312"/>
                <w:sz w:val="28"/>
                <w:b/>
              </w:rPr>
              <w:t>：</w:t>
            </w:r>
          </w:p>
          <w:p>
            <w:pPr>
              <w:pStyle w:val="null3"/>
              <w:ind w:firstLine="536"/>
              <w:jc w:val="left"/>
            </w:pPr>
            <w:r>
              <w:rPr>
                <w:rFonts w:ascii="仿宋_GB2312" w:hAnsi="仿宋_GB2312" w:cs="仿宋_GB2312" w:eastAsia="仿宋_GB2312"/>
                <w:sz w:val="28"/>
              </w:rPr>
              <w:t>1、本工程依据2024 年度阎良区小型农田水利项目施工图纸、图纸答疑进行计算、编制；</w:t>
            </w:r>
          </w:p>
          <w:p>
            <w:pPr>
              <w:pStyle w:val="null3"/>
              <w:ind w:firstLine="560"/>
              <w:jc w:val="both"/>
            </w:pPr>
            <w:r>
              <w:rPr>
                <w:rFonts w:ascii="仿宋_GB2312" w:hAnsi="仿宋_GB2312" w:cs="仿宋_GB2312" w:eastAsia="仿宋_GB2312"/>
                <w:sz w:val="28"/>
                <w:color w:val="000000"/>
              </w:rPr>
              <w:t>2、陕发改项目[2017]1606号文颁发的关于《陕西省水利工程设计概（估）算编制规定》《陕西省水利建筑工程概、预算定额》等计价依据的批复；</w:t>
            </w:r>
          </w:p>
          <w:p>
            <w:pPr>
              <w:pStyle w:val="null3"/>
              <w:ind w:firstLine="560"/>
              <w:jc w:val="both"/>
            </w:pPr>
            <w:r>
              <w:rPr>
                <w:rFonts w:ascii="仿宋_GB2312" w:hAnsi="仿宋_GB2312" w:cs="仿宋_GB2312" w:eastAsia="仿宋_GB2312"/>
                <w:sz w:val="28"/>
                <w:color w:val="000000"/>
              </w:rPr>
              <w:t>3、水总[2016]132 号关于印发《水利工程营业税改征增值税计价依据调整办法以及水利部发办财务函[2019]448 号的通知进行编制；</w:t>
            </w:r>
          </w:p>
          <w:p>
            <w:pPr>
              <w:pStyle w:val="null3"/>
              <w:ind w:firstLine="560"/>
              <w:jc w:val="both"/>
            </w:pPr>
            <w:r>
              <w:rPr>
                <w:rFonts w:ascii="仿宋_GB2312" w:hAnsi="仿宋_GB2312" w:cs="仿宋_GB2312" w:eastAsia="仿宋_GB2312"/>
                <w:sz w:val="28"/>
                <w:color w:val="000000"/>
              </w:rPr>
              <w:t>4、陕建发〔2021〕1021号文《陕西省住房和城乡建设厅关于全省统一停止收缴建筑业劳保费用的通知》；</w:t>
            </w:r>
          </w:p>
          <w:p>
            <w:pPr>
              <w:pStyle w:val="null3"/>
              <w:ind w:firstLine="560"/>
              <w:jc w:val="both"/>
            </w:pPr>
            <w:r>
              <w:rPr>
                <w:rFonts w:ascii="仿宋_GB2312" w:hAnsi="仿宋_GB2312" w:cs="仿宋_GB2312" w:eastAsia="仿宋_GB2312"/>
                <w:sz w:val="28"/>
                <w:color w:val="000000"/>
              </w:rPr>
              <w:t>5、水利部办公厅《关于调整水利工程计价依据增值税计算标准的通知》（办财务函［2019］448号）；</w:t>
            </w:r>
          </w:p>
          <w:p>
            <w:pPr>
              <w:pStyle w:val="null3"/>
              <w:ind w:firstLine="560"/>
              <w:jc w:val="both"/>
            </w:pPr>
            <w:r>
              <w:rPr>
                <w:rFonts w:ascii="仿宋_GB2312" w:hAnsi="仿宋_GB2312" w:cs="仿宋_GB2312" w:eastAsia="仿宋_GB2312"/>
                <w:sz w:val="28"/>
                <w:color w:val="0D0D0D"/>
              </w:rPr>
              <w:t>6</w:t>
            </w:r>
            <w:r>
              <w:rPr>
                <w:rFonts w:ascii="仿宋_GB2312" w:hAnsi="仿宋_GB2312" w:cs="仿宋_GB2312" w:eastAsia="仿宋_GB2312"/>
                <w:sz w:val="28"/>
                <w:color w:val="0D0D0D"/>
              </w:rPr>
              <w:t>、</w:t>
            </w:r>
            <w:r>
              <w:rPr>
                <w:rFonts w:ascii="仿宋_GB2312" w:hAnsi="仿宋_GB2312" w:cs="仿宋_GB2312" w:eastAsia="仿宋_GB2312"/>
                <w:sz w:val="28"/>
                <w:color w:val="000000"/>
              </w:rPr>
              <w:t>《财政部农村农业部关于印发</w:t>
            </w:r>
            <w:r>
              <w:rPr>
                <w:rFonts w:ascii="仿宋_GB2312" w:hAnsi="仿宋_GB2312" w:cs="仿宋_GB2312" w:eastAsia="仿宋_GB2312"/>
                <w:sz w:val="28"/>
                <w:color w:val="000000"/>
              </w:rPr>
              <w:t>&lt;农田建设补助资金管理办法&gt;的通知》（财农[2022]5号文）；</w:t>
            </w:r>
          </w:p>
          <w:p>
            <w:pPr>
              <w:pStyle w:val="null3"/>
              <w:ind w:firstLine="560"/>
              <w:jc w:val="both"/>
            </w:pPr>
            <w:r>
              <w:rPr>
                <w:rFonts w:ascii="仿宋_GB2312" w:hAnsi="仿宋_GB2312" w:cs="仿宋_GB2312" w:eastAsia="仿宋_GB2312"/>
                <w:sz w:val="28"/>
                <w:color w:val="000000"/>
              </w:rPr>
              <w:t>7、2024 年度阎良区小型农田水利项目工程施工图纸</w:t>
            </w:r>
            <w:r>
              <w:rPr>
                <w:rFonts w:ascii="仿宋_GB2312" w:hAnsi="仿宋_GB2312" w:cs="仿宋_GB2312" w:eastAsia="仿宋_GB2312"/>
                <w:sz w:val="28"/>
                <w:color w:val="0D0D0D"/>
              </w:rPr>
              <w:t>；</w:t>
            </w:r>
          </w:p>
          <w:p>
            <w:pPr>
              <w:pStyle w:val="null3"/>
              <w:ind w:firstLine="560"/>
              <w:jc w:val="both"/>
            </w:pPr>
            <w:r>
              <w:rPr>
                <w:rFonts w:ascii="仿宋_GB2312" w:hAnsi="仿宋_GB2312" w:cs="仿宋_GB2312" w:eastAsia="仿宋_GB2312"/>
                <w:sz w:val="28"/>
                <w:color w:val="0D0D0D"/>
              </w:rPr>
              <w:t>8</w:t>
            </w:r>
            <w:r>
              <w:rPr>
                <w:rFonts w:ascii="仿宋_GB2312" w:hAnsi="仿宋_GB2312" w:cs="仿宋_GB2312" w:eastAsia="仿宋_GB2312"/>
                <w:sz w:val="28"/>
                <w:color w:val="0D0D0D"/>
              </w:rPr>
              <w:t>、</w:t>
            </w:r>
            <w:r>
              <w:rPr>
                <w:rFonts w:ascii="仿宋_GB2312" w:hAnsi="仿宋_GB2312" w:cs="仿宋_GB2312" w:eastAsia="仿宋_GB2312"/>
                <w:sz w:val="28"/>
                <w:color w:val="000000"/>
              </w:rPr>
              <w:t>2024 年度阎良区小型农田水利项目</w:t>
            </w:r>
            <w:r>
              <w:rPr>
                <w:rFonts w:ascii="仿宋_GB2312" w:hAnsi="仿宋_GB2312" w:cs="仿宋_GB2312" w:eastAsia="仿宋_GB2312"/>
                <w:sz w:val="28"/>
                <w:color w:val="0D0D0D"/>
              </w:rPr>
              <w:t>预算书；</w:t>
            </w:r>
          </w:p>
          <w:p>
            <w:pPr>
              <w:pStyle w:val="null3"/>
              <w:ind w:firstLine="560"/>
              <w:jc w:val="both"/>
            </w:pPr>
            <w:r>
              <w:rPr>
                <w:rFonts w:ascii="仿宋_GB2312" w:hAnsi="仿宋_GB2312" w:cs="仿宋_GB2312" w:eastAsia="仿宋_GB2312"/>
                <w:sz w:val="28"/>
                <w:color w:val="0D0D0D"/>
              </w:rPr>
              <w:t>9、</w:t>
            </w:r>
            <w:r>
              <w:rPr>
                <w:rFonts w:ascii="仿宋_GB2312" w:hAnsi="仿宋_GB2312" w:cs="仿宋_GB2312" w:eastAsia="仿宋_GB2312"/>
                <w:sz w:val="28"/>
                <w:color w:val="000000"/>
              </w:rPr>
              <w:t>2024 年度阎良区小型农田水利项目</w:t>
            </w:r>
            <w:r>
              <w:rPr>
                <w:rFonts w:ascii="仿宋_GB2312" w:hAnsi="仿宋_GB2312" w:cs="仿宋_GB2312" w:eastAsia="仿宋_GB2312"/>
                <w:sz w:val="28"/>
                <w:color w:val="0D0D0D"/>
              </w:rPr>
              <w:t>招标文件；</w:t>
            </w:r>
          </w:p>
          <w:p>
            <w:pPr>
              <w:pStyle w:val="null3"/>
              <w:ind w:firstLine="560"/>
              <w:jc w:val="both"/>
            </w:pPr>
            <w:r>
              <w:rPr>
                <w:rFonts w:ascii="仿宋_GB2312" w:hAnsi="仿宋_GB2312" w:cs="仿宋_GB2312" w:eastAsia="仿宋_GB2312"/>
                <w:sz w:val="28"/>
                <w:color w:val="0D0D0D"/>
              </w:rPr>
              <w:t>10、</w:t>
            </w:r>
            <w:r>
              <w:rPr>
                <w:rFonts w:ascii="仿宋_GB2312" w:hAnsi="仿宋_GB2312" w:cs="仿宋_GB2312" w:eastAsia="仿宋_GB2312"/>
                <w:sz w:val="28"/>
                <w:color w:val="000000"/>
              </w:rPr>
              <w:t>主要材料价格参考阎良区</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年第</w:t>
            </w:r>
            <w:r>
              <w:rPr>
                <w:rFonts w:ascii="仿宋_GB2312" w:hAnsi="仿宋_GB2312" w:cs="仿宋_GB2312" w:eastAsia="仿宋_GB2312"/>
                <w:sz w:val="28"/>
                <w:color w:val="000000"/>
              </w:rPr>
              <w:t>04</w:t>
            </w:r>
            <w:r>
              <w:rPr>
                <w:rFonts w:ascii="仿宋_GB2312" w:hAnsi="仿宋_GB2312" w:cs="仿宋_GB2312" w:eastAsia="仿宋_GB2312"/>
                <w:sz w:val="28"/>
                <w:color w:val="000000"/>
              </w:rPr>
              <w:t>期材料信息价，信息价中缺项的价格</w:t>
            </w:r>
            <w:r>
              <w:rPr>
                <w:rFonts w:ascii="仿宋_GB2312" w:hAnsi="仿宋_GB2312" w:cs="仿宋_GB2312" w:eastAsia="仿宋_GB2312"/>
                <w:sz w:val="28"/>
                <w:color w:val="000000"/>
              </w:rPr>
              <w:t>按</w:t>
            </w:r>
            <w:r>
              <w:rPr>
                <w:rFonts w:ascii="仿宋_GB2312" w:hAnsi="仿宋_GB2312" w:cs="仿宋_GB2312" w:eastAsia="仿宋_GB2312"/>
                <w:sz w:val="28"/>
                <w:color w:val="000000"/>
              </w:rPr>
              <w:t>《陕西省工程造价管理信息</w:t>
            </w:r>
            <w:r>
              <w:rPr>
                <w:rFonts w:ascii="仿宋_GB2312" w:hAnsi="仿宋_GB2312" w:cs="仿宋_GB2312" w:eastAsia="仿宋_GB2312"/>
                <w:sz w:val="28"/>
                <w:color w:val="000000"/>
              </w:rPr>
              <w:t>—材料信息价》202</w:t>
            </w:r>
            <w:r>
              <w:rPr>
                <w:rFonts w:ascii="仿宋_GB2312" w:hAnsi="仿宋_GB2312" w:cs="仿宋_GB2312" w:eastAsia="仿宋_GB2312"/>
                <w:sz w:val="28"/>
                <w:color w:val="000000"/>
              </w:rPr>
              <w:t>5</w:t>
            </w:r>
            <w:r>
              <w:rPr>
                <w:rFonts w:ascii="仿宋_GB2312" w:hAnsi="仿宋_GB2312" w:cs="仿宋_GB2312" w:eastAsia="仿宋_GB2312"/>
                <w:sz w:val="28"/>
                <w:color w:val="000000"/>
              </w:rPr>
              <w:t>年第</w:t>
            </w:r>
            <w:r>
              <w:rPr>
                <w:rFonts w:ascii="仿宋_GB2312" w:hAnsi="仿宋_GB2312" w:cs="仿宋_GB2312" w:eastAsia="仿宋_GB2312"/>
                <w:sz w:val="28"/>
                <w:color w:val="000000"/>
              </w:rPr>
              <w:t>04</w:t>
            </w:r>
            <w:r>
              <w:rPr>
                <w:rFonts w:ascii="仿宋_GB2312" w:hAnsi="仿宋_GB2312" w:cs="仿宋_GB2312" w:eastAsia="仿宋_GB2312"/>
                <w:sz w:val="28"/>
                <w:color w:val="000000"/>
              </w:rPr>
              <w:t>期</w:t>
            </w:r>
            <w:r>
              <w:rPr>
                <w:rFonts w:ascii="仿宋_GB2312" w:hAnsi="仿宋_GB2312" w:cs="仿宋_GB2312" w:eastAsia="仿宋_GB2312"/>
                <w:sz w:val="28"/>
                <w:color w:val="000000"/>
              </w:rPr>
              <w:t>及</w:t>
            </w:r>
            <w:r>
              <w:rPr>
                <w:rFonts w:ascii="仿宋_GB2312" w:hAnsi="仿宋_GB2312" w:cs="仿宋_GB2312" w:eastAsia="仿宋_GB2312"/>
                <w:sz w:val="28"/>
                <w:color w:val="000000"/>
              </w:rPr>
              <w:t>结合</w:t>
            </w:r>
            <w:r>
              <w:rPr>
                <w:rFonts w:ascii="仿宋_GB2312" w:hAnsi="仿宋_GB2312" w:cs="仿宋_GB2312" w:eastAsia="仿宋_GB2312"/>
                <w:sz w:val="28"/>
                <w:color w:val="000000"/>
              </w:rPr>
              <w:t>市场价予以调整</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D0D0D"/>
              </w:rPr>
              <w:t>11、与建设工程项目有关的标准、规范、图集、技术资料；</w:t>
            </w:r>
          </w:p>
          <w:p>
            <w:pPr>
              <w:pStyle w:val="null3"/>
              <w:ind w:firstLine="560"/>
              <w:jc w:val="both"/>
            </w:pPr>
            <w:r>
              <w:rPr>
                <w:rFonts w:ascii="仿宋_GB2312" w:hAnsi="仿宋_GB2312" w:cs="仿宋_GB2312" w:eastAsia="仿宋_GB2312"/>
                <w:sz w:val="28"/>
                <w:color w:val="0D0D0D"/>
              </w:rPr>
              <w:t>12、其他相关资料。</w:t>
            </w:r>
          </w:p>
          <w:p>
            <w:pPr>
              <w:pStyle w:val="null3"/>
              <w:jc w:val="left"/>
            </w:pPr>
            <w:r>
              <w:rPr>
                <w:rFonts w:ascii="仿宋_GB2312" w:hAnsi="仿宋_GB2312" w:cs="仿宋_GB2312" w:eastAsia="仿宋_GB2312"/>
                <w:sz w:val="28"/>
                <w:b/>
              </w:rPr>
              <w:t xml:space="preserve">  （2）、其它说明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color w:val="000000"/>
              </w:rPr>
              <w:t>1、本项目采用天宇计价软件编制；</w:t>
            </w:r>
          </w:p>
          <w:p>
            <w:pPr>
              <w:pStyle w:val="null3"/>
              <w:ind w:firstLine="536"/>
              <w:jc w:val="left"/>
            </w:pPr>
            <w:r>
              <w:rPr>
                <w:rFonts w:ascii="仿宋_GB2312" w:hAnsi="仿宋_GB2312" w:cs="仿宋_GB2312" w:eastAsia="仿宋_GB2312"/>
                <w:sz w:val="28"/>
              </w:rPr>
              <w:t>2、</w:t>
            </w:r>
            <w:r>
              <w:rPr>
                <w:rFonts w:ascii="仿宋_GB2312" w:hAnsi="仿宋_GB2312" w:cs="仿宋_GB2312" w:eastAsia="仿宋_GB2312"/>
                <w:sz w:val="28"/>
              </w:rPr>
              <w:t>暂列金额按</w:t>
            </w:r>
            <w:r>
              <w:rPr>
                <w:rFonts w:ascii="仿宋_GB2312" w:hAnsi="仿宋_GB2312" w:cs="仿宋_GB2312" w:eastAsia="仿宋_GB2312"/>
                <w:sz w:val="28"/>
              </w:rPr>
              <w:t>47168元计入；</w:t>
            </w:r>
          </w:p>
          <w:p>
            <w:pPr>
              <w:pStyle w:val="null3"/>
              <w:ind w:firstLine="560"/>
              <w:jc w:val="both"/>
            </w:pPr>
            <w:r>
              <w:rPr>
                <w:rFonts w:ascii="仿宋_GB2312" w:hAnsi="仿宋_GB2312" w:cs="仿宋_GB2312" w:eastAsia="仿宋_GB2312"/>
                <w:sz w:val="28"/>
                <w:color w:val="000000"/>
              </w:rPr>
              <w:t>3、根据陕发改项目[2017]1606号文颁发的《陕西省水利工程设计概（估）算编制规定》，人工预算单价为：技工75元/工日，普工50元/工日；</w:t>
            </w:r>
          </w:p>
          <w:p>
            <w:pPr>
              <w:pStyle w:val="null3"/>
              <w:ind w:firstLine="560"/>
              <w:jc w:val="both"/>
            </w:pPr>
            <w:r>
              <w:rPr>
                <w:rFonts w:ascii="仿宋_GB2312" w:hAnsi="仿宋_GB2312" w:cs="仿宋_GB2312" w:eastAsia="仿宋_GB2312"/>
                <w:sz w:val="28"/>
                <w:color w:val="000000"/>
              </w:rPr>
              <w:t>4、执行办财务函[2019]448号文《水利部办公厅关于调整水利工程计价依据增值税计算标准的通知》，采用陕发改项目[2017]1606号颁发的《陕西省水利水电工程施工机械台班费定额》。</w:t>
            </w:r>
          </w:p>
          <w:p>
            <w:pPr>
              <w:pStyle w:val="null3"/>
              <w:ind w:firstLine="480"/>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20"/>
              <w:jc w:val="both"/>
            </w:pPr>
            <w:r>
              <w:rPr>
                <w:rFonts w:ascii="仿宋_GB2312" w:hAnsi="仿宋_GB2312" w:cs="仿宋_GB2312" w:eastAsia="仿宋_GB2312"/>
                <w:sz w:val="28"/>
                <w:b/>
              </w:rPr>
              <w:t>四、施工要求</w:t>
            </w:r>
          </w:p>
          <w:p>
            <w:pPr>
              <w:pStyle w:val="null3"/>
              <w:ind w:firstLine="480"/>
              <w:jc w:val="both"/>
            </w:pPr>
            <w:r>
              <w:rPr>
                <w:rFonts w:ascii="仿宋_GB2312" w:hAnsi="仿宋_GB2312" w:cs="仿宋_GB2312" w:eastAsia="仿宋_GB2312"/>
                <w:sz w:val="24"/>
              </w:rPr>
              <w:t>在施工期间，中标供应商必须注意施工人员安全，加强安全措施，并对施工人员进行安全教育。施工人员必须持证上岗。因采购人工作的特殊性，要求中标供应商在施工中做到封闭性施工。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20"/>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4"/>
              </w:rPr>
              <w:t>合同签订后，项目完成并验收合格后甲方向乙方支付合同款的</w:t>
            </w:r>
            <w:r>
              <w:rPr>
                <w:rFonts w:ascii="仿宋_GB2312" w:hAnsi="仿宋_GB2312" w:cs="仿宋_GB2312" w:eastAsia="仿宋_GB2312"/>
                <w:sz w:val="24"/>
              </w:rPr>
              <w:t>70%，待结算审计完成后甲方向乙方支付至项目结算价款的100%，乙方要在项目质保期间严格履行好质保责任。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法人授权委托书格式.docx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供应商提供健全的财务会计制度的证明材料</w:t>
            </w:r>
          </w:p>
        </w:tc>
        <w:tc>
          <w:tcPr>
            <w:tcW w:type="dxa" w:w="3322"/>
          </w:tcPr>
          <w:p>
            <w:pPr>
              <w:pStyle w:val="null3"/>
            </w:pPr>
            <w:r>
              <w:rPr>
                <w:rFonts w:ascii="仿宋_GB2312" w:hAnsi="仿宋_GB2312" w:cs="仿宋_GB2312" w:eastAsia="仿宋_GB2312"/>
              </w:rPr>
              <w:t>供应商须提供2024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证书等级：二级及以上注册建造师资格 专业：水利水电工程专业 补充说明：拟派本工程项目经理须具备水利水电工程专业二级及以上注册建造师资格，同时具有合格有效的安全生产考核合格证（B证）,本单位注册且无在建工程。</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无失信记录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供应商名称：与营业执照一致；响应函签字盖章：按照响应文件格式要求签字盖章；响应文件格式：符合“响应文件格式”的要求。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强制优先采购产品承诺函 法人授权委托书格式.docx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工期：自进场之日起90个日历日内竣工； 工程质量：工程质量符合国家现行行业施工验收规范“合格”标准； 投标有效期：自提交响应文件的截止之日起90个日历日； 已标价工程量清单：符合“工程量清单”给出的子目名称、计量单位、工程量、子目备注说明； 投标价格：报价唯一，不得高于最高限价。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强制优先采购产品承诺函 响应文件封面 法人授权委托书格式.docx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以上内容专门针对本项目且符合本项目实际需求的得8分，每缺一项内容扣2分，若上述内容存在瑕疵，每出存在1处瑕疵扣0.5分，扣完为止。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环境保护管理体系与措施内容至少包括①环境保护措施；②水土保持措施；③预防和动态控制措施及制度等。 以上内容专门针对本项目且符合本项目实际需求的得6分，每缺一项内容扣2分，若上述内容存在瑕疵，每出存在1处瑕疵扣0.5分，扣完为止。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供应商近年(自2023年1月1日至今)类似项目业绩，提供一个业绩得2分，满分得 6分；（时间以合同签订日期准） 注：证明材料为合同首页、双方签字盖章页以及能够反映合同内容的部分，合同弄虚作假取消其中标资格。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 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详见附件：法人授权委托书格式.docx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