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版本号：THXZB2026-100320260209001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2025年度阎良区小型农田水利项目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THXZB2026-1003</w:t>
      </w:r>
      <w:r>
        <w:br/>
      </w:r>
      <w:r>
        <w:br/>
      </w:r>
      <w:r>
        <w:br/>
      </w:r>
    </w:p>
    <w:p>
      <w:pPr>
        <w:pStyle w:val="null3"/>
        <w:jc w:val="center"/>
        <w:outlineLvl w:val="2"/>
      </w:pPr>
      <w:r>
        <w:rPr>
          <w:rFonts w:ascii="仿宋_GB2312" w:hAnsi="仿宋_GB2312" w:cs="仿宋_GB2312" w:eastAsia="仿宋_GB2312"/>
          <w:sz w:val="28"/>
          <w:b/>
        </w:rPr>
        <w:t>西安市阎良区农业农村和林业局</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西安市阎良区农业农村和林业局</w:t>
      </w:r>
      <w:r>
        <w:rPr>
          <w:rFonts w:ascii="仿宋_GB2312" w:hAnsi="仿宋_GB2312" w:cs="仿宋_GB2312" w:eastAsia="仿宋_GB2312"/>
        </w:rPr>
        <w:t>委托，拟对</w:t>
      </w:r>
      <w:r>
        <w:rPr>
          <w:rFonts w:ascii="仿宋_GB2312" w:hAnsi="仿宋_GB2312" w:cs="仿宋_GB2312" w:eastAsia="仿宋_GB2312"/>
        </w:rPr>
        <w:t>2025年度阎良区小型农田水利项目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THXZB2026-1003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2025年度阎良区小型农田水利项目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1座提水泵站。铺设管道：DN225PE（0.6Mpa）输水管595m、DN125PE（0.6Mpa）输水管1005m，DN110PE（0.6Mpa）补水管道450m。新建管道建筑物：分水阀井2座、出水桩18个。拆除重建田间农渠3条，D40渠道共计1284m。新建渠系建筑物100座，其中：便桥30座，农引门68个，节制分水闸2座。（具体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采购包1（2025年度阎良区小型农田水利项目）：属于专门面向中小企业采购。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企业法人或其他组织，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2、法定代表人授权书：法定代表人直接磋商须提交法定代表人证明书，法定代表人授权代表参加磋商的，须出具授权书、授权代表本单位的证明（授权代表提供有效的近一个月社会保险缴纳证明）， 供应商需在项目电子化交易系统中按要求填写并进行电子签章；</w:t>
      </w:r>
    </w:p>
    <w:p>
      <w:pPr>
        <w:pStyle w:val="null3"/>
      </w:pPr>
      <w:r>
        <w:rPr>
          <w:rFonts w:ascii="仿宋_GB2312" w:hAnsi="仿宋_GB2312" w:cs="仿宋_GB2312" w:eastAsia="仿宋_GB2312"/>
        </w:rPr>
        <w:t>3、审计报告或资信证明：供应商须提供2024年度或2025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纳税证明：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保缴纳凭证：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6、资质等级：供应商须具备建设行政主管部门颁发的水利水电工程施工总承包三级及以上资质，且具备有效的安全生产许可证，供应商需在项目电子化交易系统中按要求上传相应证明文件并进行电子签章；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7、拟派项目经理资质：拟派项目经理须具备水利水电工程专业二级及以上注册建造师资质，在有效期内，且具备有效的安全生产考核合格证书（水安B证），并提供项目经理无其他在建工程承诺，供应商需在项目电子化交易系统中按要求上传相应证明文件并进行电子签章；</w:t>
      </w:r>
    </w:p>
    <w:p>
      <w:pPr>
        <w:pStyle w:val="null3"/>
      </w:pPr>
      <w:r>
        <w:rPr>
          <w:rFonts w:ascii="仿宋_GB2312" w:hAnsi="仿宋_GB2312" w:cs="仿宋_GB2312" w:eastAsia="仿宋_GB2312"/>
        </w:rPr>
        <w:t>8、履行合同所必需的设备和专业技术能力：供应商须提供具有履行合同所必需的设备和专业技术能力的承诺函(加盖供应商公章)，供应商需在项目电子化交易系统中按要求上传相应证明文件并进行电子签章；</w:t>
      </w:r>
    </w:p>
    <w:p>
      <w:pPr>
        <w:pStyle w:val="null3"/>
      </w:pPr>
      <w:r>
        <w:rPr>
          <w:rFonts w:ascii="仿宋_GB2312" w:hAnsi="仿宋_GB2312" w:cs="仿宋_GB2312" w:eastAsia="仿宋_GB2312"/>
        </w:rPr>
        <w:t>9、参加政府采购活动前3年内在经营活动中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10、信用信息截图：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现场查询结果为评审依据）</w:t>
      </w:r>
    </w:p>
    <w:p>
      <w:pPr>
        <w:pStyle w:val="null3"/>
      </w:pPr>
      <w:r>
        <w:rPr>
          <w:rFonts w:ascii="仿宋_GB2312" w:hAnsi="仿宋_GB2312" w:cs="仿宋_GB2312" w:eastAsia="仿宋_GB2312"/>
        </w:rPr>
        <w:t>11、供应商性质：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西安市阎良区农业农村和林业局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西安市阎良区凤凰东路29号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029-86202681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西安市雁塔区西京电气集团公司南门国家级孵化器（雁南二路）西京科创园3号楼25层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郝智军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代理服务费收费标准：参照国家发展和改革委员会《招标代理服务收费暂行办法》（计价格[2002]1980号）和国家发展改革委（发改价格[2003]857号）文件规定计取，差额累进法进行计算。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西安市阎良区农业农村和林业局</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西安市阎良区农业农村和林业局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西安市阎良区农业农村和林业局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联系人：陈阳</w:t>
      </w:r>
    </w:p>
    <w:p>
      <w:pPr>
        <w:pStyle w:val="null3"/>
      </w:pPr>
      <w:r>
        <w:rPr>
          <w:rFonts w:ascii="仿宋_GB2312" w:hAnsi="仿宋_GB2312" w:cs="仿宋_GB2312" w:eastAsia="仿宋_GB2312"/>
        </w:rPr>
        <w:t>联系电话：029-88210791转806</w:t>
      </w:r>
    </w:p>
    <w:p>
      <w:pPr>
        <w:pStyle w:val="null3"/>
      </w:pPr>
      <w:r>
        <w:rPr>
          <w:rFonts w:ascii="仿宋_GB2312" w:hAnsi="仿宋_GB2312" w:cs="仿宋_GB2312" w:eastAsia="仿宋_GB2312"/>
        </w:rPr>
        <w:t>地址：西安市雁塔区西京电气集团公司南门国家级孵化器（雁南二路）西京科创园3号楼25层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741,883.95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2025年度阎良区小型农田水利项目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标的名称：2025年度阎良区小型农田水利项目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一、工程概况 1、工程名称：2025年度阎良区小型农田水利项目 2、预算金额：800000.00元 招标最高限价：741883.95元 3、工程地点：西安市阎良区交口灌区西干渠控制范围内小寨泵站正西 4、工程内容：新建1座提水泵站。铺设管道：DN225PE（0.6Mpa）输水管595m、DN125PE（0.6Mpa）输水管1005m，DN110PE（0.6Mpa）补水管道450m。新建管道建筑物：分水阀井2座、出水桩18个。拆除重建田间农渠3条，D40渠道共计1284m。新建渠系建筑物100座，其中：便桥30座，农引门68个，节制分水闸2座。（具体详见工程量清单及图纸）。二、工期要求：自进场之日起90个日历日内竣工。三、施工要求在施工期间，中标供应商必须注意施工人员安全，加强安全措施，并对施工人员进行安全教育。施工人员必须持证上岗。因采购人工作的特殊性，要求中标供应商在施工中做到封闭性施工。四、付款方式：1、付款方式：合同签订后，项目完成并验收合格后甲方向乙方支付合同款的 70%，待结算审核完成后甲方向乙方支付至项目结算价款的100%，乙方要在项目质保期间严格履行好质保责任。五、其他说明事宜：1、本项目属性为：工程 。2、本项目采购标的所属行业为：建筑业 。（按照《工信部、国家统计局、发改委、财政部、工信部联企业》 中小企业划型标准（〔2011〕300号） 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3、成交供应商需在领取中标通知书时提供纸质响应文件正本壹份、副本贰份、电子版壹份（U盘壹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其他需满足的资格条款.docx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或2025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具有独立承担民事责任能力的企业法人或其他组织，提供合法有效的（三证合一）统一社会信用代码的营业执照等证明文件，供应商需在项目电子化交易系统中按要求上传相应证明文件并进行电子签章；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法定代表人直接磋商须提交法定代表人证明书，法定代表人授权代表参加磋商的，须出具授权书、授权代表本单位的证明（授权代表提供有效的近一个月社会保险缴纳证明）， 供应商需在项目电子化交易系统中按要求填写并进行电子签章；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审计报告或资信证明</w:t>
            </w:r>
          </w:p>
        </w:tc>
        <w:tc>
          <w:tcPr>
            <w:tcW w:type="dxa" w:w="3322"/>
          </w:tcPr>
          <w:p>
            <w:pPr>
              <w:pStyle w:val="null3"/>
            </w:pPr>
            <w:r>
              <w:rPr>
                <w:rFonts w:ascii="仿宋_GB2312" w:hAnsi="仿宋_GB2312" w:cs="仿宋_GB2312" w:eastAsia="仿宋_GB2312"/>
              </w:rPr>
              <w:t>供应商须提供2024年度或2025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应提供相关文件证明；若为新成立企业须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资质等级</w:t>
            </w:r>
          </w:p>
        </w:tc>
        <w:tc>
          <w:tcPr>
            <w:tcW w:type="dxa" w:w="3322"/>
          </w:tcPr>
          <w:p>
            <w:pPr>
              <w:pStyle w:val="null3"/>
            </w:pPr>
            <w:r>
              <w:rPr>
                <w:rFonts w:ascii="仿宋_GB2312" w:hAnsi="仿宋_GB2312" w:cs="仿宋_GB2312" w:eastAsia="仿宋_GB2312"/>
              </w:rPr>
              <w:t>供应商须具备建设行政主管部门颁发的水利水电工程施工总承包三级及以上资质，且具备有效的安全生产许可证，供应商需在项目电子化交易系统中按要求上传相应证明文件并进行电子签章；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拟派项目经理资质</w:t>
            </w:r>
          </w:p>
        </w:tc>
        <w:tc>
          <w:tcPr>
            <w:tcW w:type="dxa" w:w="3322"/>
          </w:tcPr>
          <w:p>
            <w:pPr>
              <w:pStyle w:val="null3"/>
            </w:pPr>
            <w:r>
              <w:rPr>
                <w:rFonts w:ascii="仿宋_GB2312" w:hAnsi="仿宋_GB2312" w:cs="仿宋_GB2312" w:eastAsia="仿宋_GB2312"/>
              </w:rPr>
              <w:t>拟派项目经理须具备水利水电工程专业二级及以上注册建造师资质，在有效期内，且具备有效的安全生产考核合格证书（水安B证），并提供项目经理无其他在建工程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供应商须提供具有履行合同所必需的设备和专业技术能力的承诺函(加盖供应商公章)，供应商需在项目电子化交易系统中按要求上传相应证明文件并进行电子签章；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信用信息截图</w:t>
            </w:r>
          </w:p>
        </w:tc>
        <w:tc>
          <w:tcPr>
            <w:tcW w:type="dxa" w:w="3322"/>
          </w:tcPr>
          <w:p>
            <w:pPr>
              <w:pStyle w:val="null3"/>
            </w:pPr>
            <w:r>
              <w:rPr>
                <w:rFonts w:ascii="仿宋_GB2312" w:hAnsi="仿宋_GB2312" w:cs="仿宋_GB2312" w:eastAsia="仿宋_GB2312"/>
              </w:rPr>
              <w:t>供应商不得为“信用中国”网站中被列入失信被执行人、重大税收违法案件当事人名单，不得为中国政府采购网政府采购严重违法失信行为记录名单中被财政部门禁止参加政府采购活动的供应商（不强制要求供应商提供查询截图，以开标现场查询结果为评审依据）</w:t>
            </w:r>
          </w:p>
        </w:tc>
        <w:tc>
          <w:tcPr>
            <w:tcW w:type="dxa" w:w="1661"/>
          </w:tcPr>
          <w:p>
            <w:pPr>
              <w:pStyle w:val="null3"/>
            </w:pPr>
            <w:r>
              <w:rPr>
                <w:rFonts w:ascii="仿宋_GB2312" w:hAnsi="仿宋_GB2312" w:cs="仿宋_GB2312" w:eastAsia="仿宋_GB2312"/>
              </w:rPr>
              <w:t>其他需满足的资格条款.docx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供应商性质</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财库〔2020〕46号）条件的企业参与，供应商应填写中小企业声明函并对真实性负责（残疾人福利性单位及监狱企业视同为小型、微型企业），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磋商响应文件中项目名称、项目编号、包号与本项目一致，无遗漏</w:t>
            </w:r>
          </w:p>
        </w:tc>
        <w:tc>
          <w:tcPr>
            <w:tcW w:type="dxa" w:w="3322"/>
          </w:tcPr>
          <w:p>
            <w:pPr>
              <w:pStyle w:val="null3"/>
            </w:pPr>
            <w:r>
              <w:rPr>
                <w:rFonts w:ascii="仿宋_GB2312" w:hAnsi="仿宋_GB2312" w:cs="仿宋_GB2312" w:eastAsia="仿宋_GB2312"/>
              </w:rPr>
              <w:t>磋商响应文件中项目名称、项目编号、包号与本项目一致，无遗漏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磋商响应文件签署、盖章及磋商有效期符合磋商文件要求</w:t>
            </w:r>
          </w:p>
        </w:tc>
        <w:tc>
          <w:tcPr>
            <w:tcW w:type="dxa" w:w="3322"/>
          </w:tcPr>
          <w:p>
            <w:pPr>
              <w:pStyle w:val="null3"/>
            </w:pPr>
            <w:r>
              <w:rPr>
                <w:rFonts w:ascii="仿宋_GB2312" w:hAnsi="仿宋_GB2312" w:cs="仿宋_GB2312" w:eastAsia="仿宋_GB2312"/>
              </w:rPr>
              <w:t>磋商响应文件签署、盖章及磋商有效期符合磋商文件要求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磋商内容未出现漏项或数量与要求不符</w:t>
            </w:r>
          </w:p>
        </w:tc>
        <w:tc>
          <w:tcPr>
            <w:tcW w:type="dxa" w:w="3322"/>
          </w:tcPr>
          <w:p>
            <w:pPr>
              <w:pStyle w:val="null3"/>
            </w:pPr>
            <w:r>
              <w:rPr>
                <w:rFonts w:ascii="仿宋_GB2312" w:hAnsi="仿宋_GB2312" w:cs="仿宋_GB2312" w:eastAsia="仿宋_GB2312"/>
              </w:rPr>
              <w:t>磋商内容未出现漏项或数量与要求不符</w:t>
            </w:r>
          </w:p>
        </w:tc>
        <w:tc>
          <w:tcPr>
            <w:tcW w:type="dxa" w:w="1661"/>
          </w:tcPr>
          <w:p>
            <w:pPr>
              <w:pStyle w:val="null3"/>
            </w:pPr>
            <w:r>
              <w:rPr>
                <w:rFonts w:ascii="仿宋_GB2312" w:hAnsi="仿宋_GB2312" w:cs="仿宋_GB2312" w:eastAsia="仿宋_GB2312"/>
              </w:rPr>
              <w:t>响应文件封面 技术标响应方案.docx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磋商报价未超出采购预算或采购最高限价的</w:t>
            </w:r>
          </w:p>
        </w:tc>
        <w:tc>
          <w:tcPr>
            <w:tcW w:type="dxa" w:w="3322"/>
          </w:tcPr>
          <w:p>
            <w:pPr>
              <w:pStyle w:val="null3"/>
            </w:pPr>
            <w:r>
              <w:rPr>
                <w:rFonts w:ascii="仿宋_GB2312" w:hAnsi="仿宋_GB2312" w:cs="仿宋_GB2312" w:eastAsia="仿宋_GB2312"/>
              </w:rPr>
              <w:t>磋商报价未超出采购预算或采购最高限价的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无效磋商检查</w:t>
            </w:r>
          </w:p>
        </w:tc>
        <w:tc>
          <w:tcPr>
            <w:tcW w:type="dxa" w:w="3322"/>
          </w:tcPr>
          <w:p>
            <w:pPr>
              <w:pStyle w:val="null3"/>
            </w:pPr>
            <w:r>
              <w:rPr>
                <w:rFonts w:ascii="仿宋_GB2312" w:hAnsi="仿宋_GB2312" w:cs="仿宋_GB2312" w:eastAsia="仿宋_GB2312"/>
              </w:rPr>
              <w:t>无效磋商检查</w:t>
            </w:r>
          </w:p>
        </w:tc>
        <w:tc>
          <w:tcPr>
            <w:tcW w:type="dxa" w:w="1661"/>
          </w:tcPr>
          <w:p>
            <w:pPr>
              <w:pStyle w:val="null3"/>
            </w:pPr>
            <w:r>
              <w:rPr>
                <w:rFonts w:ascii="仿宋_GB2312" w:hAnsi="仿宋_GB2312" w:cs="仿宋_GB2312" w:eastAsia="仿宋_GB2312"/>
              </w:rPr>
              <w:t>已标价工程量清单 中小企业声明函 商务标响应方案.docx 供应商承诺书.docx 强制优先采购产品承诺函 响应文件封面 项目管理机构组成表 残疾人福利性单位声明函 其他需满足的资格条款.docx 技术标响应方案.docx 供应商类似项目业绩一览表 响应函 法定代表人授权委托书.docx 主要人员简历表 监狱企业的证明文件 项目经理无在建工程、无不良记录承诺书.docx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1.施工总体方案</w:t>
            </w:r>
          </w:p>
        </w:tc>
        <w:tc>
          <w:tcPr>
            <w:tcW w:type="dxa" w:w="2492"/>
          </w:tcPr>
          <w:p>
            <w:pPr>
              <w:pStyle w:val="null3"/>
            </w:pPr>
            <w:r>
              <w:rPr>
                <w:rFonts w:ascii="仿宋_GB2312" w:hAnsi="仿宋_GB2312" w:cs="仿宋_GB2312" w:eastAsia="仿宋_GB2312"/>
              </w:rPr>
              <w:t>总体方案内容至少包括①施工准备；②施工进度安排;③施工方法；④重点难点工程分析及解决措施； ⑤影响正常施工外在因素分析及对应预案等。 以上内容专门针对本项目且阐述明晰、全面、合理得 10 分，每缺一项内容扣 2 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2.工程质量的技术组织措施</w:t>
            </w:r>
          </w:p>
        </w:tc>
        <w:tc>
          <w:tcPr>
            <w:tcW w:type="dxa" w:w="2492"/>
          </w:tcPr>
          <w:p>
            <w:pPr>
              <w:pStyle w:val="null3"/>
            </w:pPr>
            <w:r>
              <w:rPr>
                <w:rFonts w:ascii="仿宋_GB2312" w:hAnsi="仿宋_GB2312" w:cs="仿宋_GB2312" w:eastAsia="仿宋_GB2312"/>
              </w:rPr>
              <w:t>工程质量的技术组织措施内容至少包括①质量管理 工作流程；②工程质量保障方案；③工程质量控制体系； ④材料和构配件的质量控制等；⑤施工检测及工序交验方案等。 以上内容专门针对本项目且阐述明晰、全面、合理 得 10 分，每缺一项内容扣 2 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3.安全生产技术组织措施</w:t>
            </w:r>
          </w:p>
        </w:tc>
        <w:tc>
          <w:tcPr>
            <w:tcW w:type="dxa" w:w="2492"/>
          </w:tcPr>
          <w:p>
            <w:pPr>
              <w:pStyle w:val="null3"/>
            </w:pPr>
            <w:r>
              <w:rPr>
                <w:rFonts w:ascii="仿宋_GB2312" w:hAnsi="仿宋_GB2312" w:cs="仿宋_GB2312" w:eastAsia="仿宋_GB2312"/>
              </w:rPr>
              <w:t>安全生产技术组织措施内容至少包括①安全生产管 理制度；②配置安全组织机构；③安全隐患排查、整改制度；④应急救援机制等。 以上内容专门针对本项目且阐述明晰、全面、合理 得10分，每缺一项内容扣 2 .5分，若上述内容存在瑕疵，每出存在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4.文明施工及环境保护组织措施</w:t>
            </w:r>
          </w:p>
        </w:tc>
        <w:tc>
          <w:tcPr>
            <w:tcW w:type="dxa" w:w="2492"/>
          </w:tcPr>
          <w:p>
            <w:pPr>
              <w:pStyle w:val="null3"/>
            </w:pPr>
            <w:r>
              <w:rPr>
                <w:rFonts w:ascii="仿宋_GB2312" w:hAnsi="仿宋_GB2312" w:cs="仿宋_GB2312" w:eastAsia="仿宋_GB2312"/>
              </w:rPr>
              <w:t>文明施工及环境保护组织措施内容至少包括①文明及环境保护管理制度； ②防尘降噪措施； ③节能减排措施； ④文明及环境保护施工监督检查机制等。 以上内容专门针对本项目且阐述明晰、全面、合理得 10分，每缺一项内容扣 2 .5分，若上述内容存在瑕疵，每存在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5.施工组织和项目管理机构</w:t>
            </w:r>
          </w:p>
        </w:tc>
        <w:tc>
          <w:tcPr>
            <w:tcW w:type="dxa" w:w="2492"/>
          </w:tcPr>
          <w:p>
            <w:pPr>
              <w:pStyle w:val="null3"/>
            </w:pPr>
            <w:r>
              <w:rPr>
                <w:rFonts w:ascii="仿宋_GB2312" w:hAnsi="仿宋_GB2312" w:cs="仿宋_GB2312" w:eastAsia="仿宋_GB2312"/>
              </w:rPr>
              <w:t>施工组织和项目管理机构内容至少包括①项目管理 机构图;②岗位安排及职责（配备施工员、安全员、资料 员、材料员、质量员）；③管理制度；④相应的协调措 施等。 以上内容专门针对本项目且阐述明晰、全面、合理 得 10 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6.施工部署与进度计划</w:t>
            </w:r>
          </w:p>
        </w:tc>
        <w:tc>
          <w:tcPr>
            <w:tcW w:type="dxa" w:w="2492"/>
          </w:tcPr>
          <w:p>
            <w:pPr>
              <w:pStyle w:val="null3"/>
            </w:pPr>
            <w:r>
              <w:rPr>
                <w:rFonts w:ascii="仿宋_GB2312" w:hAnsi="仿宋_GB2312" w:cs="仿宋_GB2312" w:eastAsia="仿宋_GB2312"/>
              </w:rPr>
              <w:t>施工部署与进度计划内容至少包括①施工总平面布 置； ②进度安排计划； ③工期目标控制和保证措施； ④ 材料供应措施； ⑤成品、半成品保护监管措施等。 以上内容专门针对本项目且阐述明晰、全面、合理 得 5分，每缺一项内容扣 1分，若上述内容存在瑕疵， 每存在 1 处瑕疵扣 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7.施工机械配置 和材料投入计划</w:t>
            </w:r>
          </w:p>
        </w:tc>
        <w:tc>
          <w:tcPr>
            <w:tcW w:type="dxa" w:w="2492"/>
          </w:tcPr>
          <w:p>
            <w:pPr>
              <w:pStyle w:val="null3"/>
            </w:pPr>
            <w:r>
              <w:rPr>
                <w:rFonts w:ascii="仿宋_GB2312" w:hAnsi="仿宋_GB2312" w:cs="仿宋_GB2312" w:eastAsia="仿宋_GB2312"/>
              </w:rPr>
              <w:t>施工机械配置和材料投入计划内容至少包括①施工 机械配置计划； ②施工材料投入计划； ③施工机械的维 护保养和材料的贮存； ④施工机械、材料的监督和检查等。 以上内容专门针对本项目且阐述明晰、全面、合理 得 10分，每缺一项内容扣 2 .5分，若上述内容存在瑕疵， 每存在 1 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技术标响应方案.docx</w:t>
            </w:r>
          </w:p>
        </w:tc>
      </w:tr>
      <w:tr>
        <w:tc>
          <w:tcPr>
            <w:tcW w:type="dxa" w:w="831"/>
            <w:vMerge/>
          </w:tcPr>
          <w:p/>
        </w:tc>
        <w:tc>
          <w:tcPr>
            <w:tcW w:type="dxa" w:w="1661"/>
          </w:tcPr>
          <w:p>
            <w:pPr>
              <w:pStyle w:val="null3"/>
            </w:pPr>
            <w:r>
              <w:rPr>
                <w:rFonts w:ascii="仿宋_GB2312" w:hAnsi="仿宋_GB2312" w:cs="仿宋_GB2312" w:eastAsia="仿宋_GB2312"/>
              </w:rPr>
              <w:t>8.业绩</w:t>
            </w:r>
          </w:p>
        </w:tc>
        <w:tc>
          <w:tcPr>
            <w:tcW w:type="dxa" w:w="2492"/>
          </w:tcPr>
          <w:p>
            <w:pPr>
              <w:pStyle w:val="null3"/>
            </w:pPr>
            <w:r>
              <w:rPr>
                <w:rFonts w:ascii="仿宋_GB2312" w:hAnsi="仿宋_GB2312" w:cs="仿宋_GB2312" w:eastAsia="仿宋_GB2312"/>
              </w:rPr>
              <w:t>提供近三年（2023年2月1日至今） 类似项目业绩，每提供一个类似项目业绩计2.5分，满分5分（以施工合同为准，时间以合同内时间为准 ，提供复印件加盖供应商公章）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 的供应商的价格为磋商基准价，其 价格分为满分。其他供应商的价格 分统一按照下列公式计算： 磋商报 价得分=（磋商基准价/最后磋商报 价） ×价格权值×100 备注： 当磋 商小组认为某个供应商的报价明显 低于其他通过符合性审查供应商的 报价，有可能影响工程质量和不能 诚信履约的，应要求该供应商在评 标现场合理的时间内提供书面说明 ，必要时提交相关证明材料； 供应 商不能证明其报价合理的，磋商小组将其作为无效磋商处理。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详见附件：技术标响应方案.docx</w:t>
      </w:r>
    </w:p>
    <w:p>
      <w:pPr>
        <w:pStyle w:val="null3"/>
        <w:ind w:firstLine="960"/>
      </w:pPr>
      <w:r>
        <w:rPr>
          <w:rFonts w:ascii="仿宋_GB2312" w:hAnsi="仿宋_GB2312" w:cs="仿宋_GB2312" w:eastAsia="仿宋_GB2312"/>
        </w:rPr>
        <w:t>详见附件：其他需满足的资格条款.docx</w:t>
      </w:r>
    </w:p>
    <w:p>
      <w:pPr>
        <w:pStyle w:val="null3"/>
        <w:ind w:firstLine="960"/>
      </w:pPr>
      <w:r>
        <w:rPr>
          <w:rFonts w:ascii="仿宋_GB2312" w:hAnsi="仿宋_GB2312" w:cs="仿宋_GB2312" w:eastAsia="仿宋_GB2312"/>
        </w:rPr>
        <w:t>详见附件：商务标响应方案.docx</w:t>
      </w:r>
    </w:p>
    <w:p>
      <w:pPr>
        <w:pStyle w:val="null3"/>
        <w:ind w:firstLine="960"/>
      </w:pPr>
      <w:r>
        <w:rPr>
          <w:rFonts w:ascii="仿宋_GB2312" w:hAnsi="仿宋_GB2312" w:cs="仿宋_GB2312" w:eastAsia="仿宋_GB2312"/>
        </w:rPr>
        <w:t>详见附件：项目经理无在建工程、无不良记录承诺书.docx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