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版本号：ZJGS-ZB-2026（08）20260408001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西延高铁阎良振兴段农田灌溉水资源论证报告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ZJGS-ZB-2026（08）</w:t>
      </w:r>
      <w:r>
        <w:br/>
      </w:r>
      <w:r>
        <w:br/>
      </w:r>
      <w:r>
        <w:br/>
      </w:r>
    </w:p>
    <w:p>
      <w:pPr>
        <w:pStyle w:val="null3"/>
        <w:jc w:val="center"/>
        <w:outlineLvl w:val="2"/>
      </w:pPr>
      <w:r>
        <w:rPr>
          <w:rFonts w:ascii="仿宋_GB2312" w:hAnsi="仿宋_GB2312" w:cs="仿宋_GB2312" w:eastAsia="仿宋_GB2312"/>
          <w:sz w:val="28"/>
          <w:b/>
        </w:rPr>
        <w:t>西安市阎良区振兴街道办事处</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西安市阎良区振兴街道办事处</w:t>
      </w:r>
      <w:r>
        <w:rPr>
          <w:rFonts w:ascii="仿宋_GB2312" w:hAnsi="仿宋_GB2312" w:cs="仿宋_GB2312" w:eastAsia="仿宋_GB2312"/>
        </w:rPr>
        <w:t>委托，拟对</w:t>
      </w:r>
      <w:r>
        <w:rPr>
          <w:rFonts w:ascii="仿宋_GB2312" w:hAnsi="仿宋_GB2312" w:cs="仿宋_GB2312" w:eastAsia="仿宋_GB2312"/>
        </w:rPr>
        <w:t>西延高铁阎良振兴段农田灌溉水资源论证报告</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ZJGS-ZB-2026（08）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西延高铁阎良振兴段农田灌溉水资源论证报告</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西延高铁阎良振兴段农田灌溉水资源论证报告编制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1、营业执照等主体资格证明文件：提供合格有效的法人或者其他组织的营业执照等合法证明文件，自然人的身份证明。</w:t>
      </w:r>
    </w:p>
    <w:p>
      <w:pPr>
        <w:pStyle w:val="null3"/>
      </w:pPr>
      <w:r>
        <w:rPr>
          <w:rFonts w:ascii="仿宋_GB2312" w:hAnsi="仿宋_GB2312" w:cs="仿宋_GB2312" w:eastAsia="仿宋_GB2312"/>
        </w:rPr>
        <w:t>2、财务状况报告：提供2024年度或2025年度经审计的财务报告（至少包括审计报告、资产负债表、现金流量表、利润表及附注，成立时间至磋商时间不足一年的可提供成立后任意时段的资产负债表）或提供基本存款账户信息及磋商日期前三个月内其基本存款账户开户银行出具的资信证明。</w:t>
      </w:r>
    </w:p>
    <w:p>
      <w:pPr>
        <w:pStyle w:val="null3"/>
      </w:pPr>
      <w:r>
        <w:rPr>
          <w:rFonts w:ascii="仿宋_GB2312" w:hAnsi="仿宋_GB2312" w:cs="仿宋_GB2312" w:eastAsia="仿宋_GB2312"/>
        </w:rPr>
        <w:t>3、税收缴纳证明：提供响应文件提交截止时间一年内至少一个月的纳税证明或完税证明（依法不需要缴纳税收的供应商应提供相关证明）。</w:t>
      </w:r>
    </w:p>
    <w:p>
      <w:pPr>
        <w:pStyle w:val="null3"/>
      </w:pPr>
      <w:r>
        <w:rPr>
          <w:rFonts w:ascii="仿宋_GB2312" w:hAnsi="仿宋_GB2312" w:cs="仿宋_GB2312" w:eastAsia="仿宋_GB2312"/>
        </w:rPr>
        <w:t>4、社保缴纳证明：提供响应文件提交截止时间一年内至少一个月的社会保障资金缴存单据或社保机构开具的社会保险参保缴费情况证明（依法不需要缴纳社会保障资金的供应商应提供相关证明）。</w:t>
      </w:r>
    </w:p>
    <w:p>
      <w:pPr>
        <w:pStyle w:val="null3"/>
      </w:pPr>
      <w:r>
        <w:rPr>
          <w:rFonts w:ascii="仿宋_GB2312" w:hAnsi="仿宋_GB2312" w:cs="仿宋_GB2312" w:eastAsia="仿宋_GB2312"/>
        </w:rPr>
        <w:t>5、信用查询：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w:t>
      </w:r>
    </w:p>
    <w:p>
      <w:pPr>
        <w:pStyle w:val="null3"/>
      </w:pPr>
      <w:r>
        <w:rPr>
          <w:rFonts w:ascii="仿宋_GB2312" w:hAnsi="仿宋_GB2312" w:cs="仿宋_GB2312" w:eastAsia="仿宋_GB2312"/>
        </w:rPr>
        <w:t>8、履行合同承诺函：具有履行合同所必需的设备和专业技术能力，提供承诺书。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西安市阎良区振兴街道办事处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西安市阎良区振兴路一号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西安市阎良区振兴街道办事处经办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13709194095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李彤、杨梅英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17792053809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和国家发展和改革委员会办公厅颁发的《关于招标代理服务收费有关问题的通知》（发改办价格[2003]857号）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西安市阎良区振兴街道办事处</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西安市阎良区振兴街道办事处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西安市阎良区振兴街道办事处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联系人：李彤、杨梅英</w:t>
      </w:r>
    </w:p>
    <w:p>
      <w:pPr>
        <w:pStyle w:val="null3"/>
      </w:pPr>
      <w:r>
        <w:rPr>
          <w:rFonts w:ascii="仿宋_GB2312" w:hAnsi="仿宋_GB2312" w:cs="仿宋_GB2312" w:eastAsia="仿宋_GB2312"/>
        </w:rPr>
        <w:t>联系电话：17792053809</w:t>
      </w:r>
    </w:p>
    <w:p>
      <w:pPr>
        <w:pStyle w:val="null3"/>
      </w:pPr>
      <w:r>
        <w:rPr>
          <w:rFonts w:ascii="仿宋_GB2312" w:hAnsi="仿宋_GB2312" w:cs="仿宋_GB2312" w:eastAsia="仿宋_GB2312"/>
        </w:rPr>
        <w:t>地址：西安市未央区文景广场C座18层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西延高铁阎良振兴段农田灌溉水资源论证报告编制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农田灌溉水资源论证报告编制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标的名称：农田灌溉水资源论证报告编制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项目概况</w:t>
            </w:r>
          </w:p>
          <w:p>
            <w:pPr>
              <w:pStyle w:val="null3"/>
              <w:ind w:left="2160"/>
              <w:jc w:val="left"/>
            </w:pPr>
            <w:r>
              <w:rPr>
                <w:rFonts w:ascii="仿宋_GB2312" w:hAnsi="仿宋_GB2312" w:cs="仿宋_GB2312" w:eastAsia="仿宋_GB2312"/>
                <w:sz w:val="24"/>
                <w:color w:val="000000"/>
              </w:rPr>
              <w:t>1、项目名称：</w:t>
            </w:r>
            <w:r>
              <w:rPr>
                <w:rFonts w:ascii="仿宋_GB2312" w:hAnsi="仿宋_GB2312" w:cs="仿宋_GB2312" w:eastAsia="仿宋_GB2312"/>
                <w:sz w:val="24"/>
                <w:color w:val="000000"/>
              </w:rPr>
              <w:t>西延高铁阎良振兴段农田灌溉水资源论证报告</w:t>
            </w:r>
          </w:p>
          <w:p>
            <w:pPr>
              <w:pStyle w:val="null3"/>
              <w:ind w:firstLine="480"/>
              <w:jc w:val="left"/>
            </w:pPr>
            <w:r>
              <w:rPr>
                <w:rFonts w:ascii="仿宋_GB2312" w:hAnsi="仿宋_GB2312" w:cs="仿宋_GB2312" w:eastAsia="仿宋_GB2312"/>
                <w:sz w:val="24"/>
                <w:color w:val="000000"/>
              </w:rPr>
              <w:t>2、项目编号：ZJGS-ZB-2026（08）</w:t>
            </w:r>
          </w:p>
          <w:p>
            <w:pPr>
              <w:pStyle w:val="null3"/>
              <w:ind w:firstLine="480"/>
              <w:jc w:val="left"/>
            </w:pPr>
            <w:r>
              <w:rPr>
                <w:rFonts w:ascii="仿宋_GB2312" w:hAnsi="仿宋_GB2312" w:cs="仿宋_GB2312" w:eastAsia="仿宋_GB2312"/>
                <w:sz w:val="24"/>
                <w:color w:val="000000"/>
              </w:rPr>
              <w:t>3、预算金额：</w:t>
            </w:r>
            <w:r>
              <w:rPr>
                <w:rFonts w:ascii="仿宋_GB2312" w:hAnsi="仿宋_GB2312" w:cs="仿宋_GB2312" w:eastAsia="仿宋_GB2312"/>
                <w:sz w:val="24"/>
                <w:color w:val="000000"/>
              </w:rPr>
              <w:t>陆</w:t>
            </w:r>
            <w:r>
              <w:rPr>
                <w:rFonts w:ascii="仿宋_GB2312" w:hAnsi="仿宋_GB2312" w:cs="仿宋_GB2312" w:eastAsia="仿宋_GB2312"/>
                <w:sz w:val="24"/>
                <w:color w:val="000000"/>
              </w:rPr>
              <w:t>拾万元整</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00000.00 元)</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合同签订后</w:t>
            </w:r>
            <w:r>
              <w:rPr>
                <w:rFonts w:ascii="仿宋_GB2312" w:hAnsi="仿宋_GB2312" w:cs="仿宋_GB2312" w:eastAsia="仿宋_GB2312"/>
                <w:sz w:val="24"/>
                <w:color w:val="000000"/>
              </w:rPr>
              <w:t>30</w:t>
            </w:r>
            <w:r>
              <w:rPr>
                <w:rFonts w:ascii="仿宋_GB2312" w:hAnsi="仿宋_GB2312" w:cs="仿宋_GB2312" w:eastAsia="仿宋_GB2312"/>
                <w:sz w:val="24"/>
                <w:color w:val="000000"/>
              </w:rPr>
              <w:t>日内完成</w:t>
            </w:r>
          </w:p>
          <w:p>
            <w:pPr>
              <w:pStyle w:val="null3"/>
              <w:jc w:val="left"/>
            </w:pPr>
            <w:r>
              <w:rPr>
                <w:rFonts w:ascii="仿宋_GB2312" w:hAnsi="仿宋_GB2312" w:cs="仿宋_GB2312" w:eastAsia="仿宋_GB2312"/>
                <w:sz w:val="24"/>
                <w:b/>
                <w:color w:val="000000"/>
              </w:rPr>
              <w:t>(二) 项目内容及要求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本合同服务内容：依据《建设项目水资源论证导则》的要求，对建设项目所在区域水资源开发利用现状、取水水源合理性与可行性、用水量的合理性</w:t>
            </w:r>
            <w:r>
              <w:rPr>
                <w:rFonts w:ascii="仿宋_GB2312" w:hAnsi="仿宋_GB2312" w:cs="仿宋_GB2312" w:eastAsia="仿宋_GB2312"/>
                <w:sz w:val="24"/>
                <w:color w:val="000000"/>
              </w:rPr>
              <w:t>、</w:t>
            </w:r>
            <w:r>
              <w:rPr>
                <w:rFonts w:ascii="仿宋_GB2312" w:hAnsi="仿宋_GB2312" w:cs="仿宋_GB2312" w:eastAsia="仿宋_GB2312"/>
                <w:sz w:val="24"/>
                <w:color w:val="000000"/>
              </w:rPr>
              <w:t>节水潜力分析、节水评价、施工期和运行期退水对环境的影响、开发利用水资源对水资源现状及其他取水用户的影响进行分析论证，并提出水资源保护措施，作为取水许可审批依据。协助采购人通过专家评审、办理取水许可证及编写《地下水取水工程建设方案》等。</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2）成果要求：</w:t>
            </w:r>
            <w:r>
              <w:rPr>
                <w:rFonts w:ascii="仿宋_GB2312" w:hAnsi="仿宋_GB2312" w:cs="仿宋_GB2312" w:eastAsia="仿宋_GB2312"/>
                <w:sz w:val="24"/>
                <w:color w:val="000000"/>
              </w:rPr>
              <w:t>《水资源论证报告》编制成果符合《建设项目水资源论证导则》。</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技术服务质量：</w:t>
            </w:r>
          </w:p>
          <w:p>
            <w:pPr>
              <w:pStyle w:val="null3"/>
              <w:ind w:firstLine="480"/>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按规定时间完成《</w:t>
            </w:r>
            <w:r>
              <w:rPr>
                <w:rFonts w:ascii="仿宋_GB2312" w:hAnsi="仿宋_GB2312" w:cs="仿宋_GB2312" w:eastAsia="仿宋_GB2312"/>
                <w:sz w:val="24"/>
                <w:color w:val="000000"/>
              </w:rPr>
              <w:t>水资源论证报告</w:t>
            </w:r>
            <w:r>
              <w:rPr>
                <w:rFonts w:ascii="仿宋_GB2312" w:hAnsi="仿宋_GB2312" w:cs="仿宋_GB2312" w:eastAsia="仿宋_GB2312"/>
                <w:sz w:val="24"/>
                <w:color w:val="000000"/>
              </w:rPr>
              <w:t>》的编制工作，成果符合甲方的相关要求。</w:t>
            </w:r>
          </w:p>
          <w:p>
            <w:pPr>
              <w:pStyle w:val="null3"/>
              <w:ind w:firstLine="480"/>
              <w:jc w:val="left"/>
            </w:pPr>
            <w:r>
              <w:rPr>
                <w:rFonts w:ascii="仿宋_GB2312" w:hAnsi="仿宋_GB2312" w:cs="仿宋_GB2312" w:eastAsia="仿宋_GB2312"/>
                <w:sz w:val="24"/>
                <w:color w:val="000000"/>
              </w:rPr>
              <w:t>②</w:t>
            </w:r>
            <w:r>
              <w:rPr>
                <w:rFonts w:ascii="仿宋_GB2312" w:hAnsi="仿宋_GB2312" w:cs="仿宋_GB2312" w:eastAsia="仿宋_GB2312"/>
                <w:sz w:val="24"/>
                <w:color w:val="000000"/>
              </w:rPr>
              <w:t>《</w:t>
            </w:r>
            <w:r>
              <w:rPr>
                <w:rFonts w:ascii="仿宋_GB2312" w:hAnsi="仿宋_GB2312" w:cs="仿宋_GB2312" w:eastAsia="仿宋_GB2312"/>
                <w:sz w:val="24"/>
                <w:color w:val="000000"/>
              </w:rPr>
              <w:t>水资源论证报告</w:t>
            </w:r>
            <w:r>
              <w:rPr>
                <w:rFonts w:ascii="仿宋_GB2312" w:hAnsi="仿宋_GB2312" w:cs="仿宋_GB2312" w:eastAsia="仿宋_GB2312"/>
                <w:sz w:val="24"/>
                <w:color w:val="000000"/>
              </w:rPr>
              <w:t>》应紧密结合项目情况，</w:t>
            </w:r>
            <w:r>
              <w:rPr>
                <w:rFonts w:ascii="仿宋_GB2312" w:hAnsi="仿宋_GB2312" w:cs="仿宋_GB2312" w:eastAsia="仿宋_GB2312"/>
                <w:sz w:val="24"/>
                <w:color w:val="000000"/>
              </w:rPr>
              <w:t>符合《建设项目水资源论证导则》</w:t>
            </w:r>
            <w:r>
              <w:rPr>
                <w:rFonts w:ascii="仿宋_GB2312" w:hAnsi="仿宋_GB2312" w:cs="仿宋_GB2312" w:eastAsia="仿宋_GB2312"/>
                <w:sz w:val="24"/>
                <w:color w:val="000000"/>
              </w:rPr>
              <w:t>及</w:t>
            </w:r>
            <w:r>
              <w:rPr>
                <w:rFonts w:ascii="仿宋_GB2312" w:hAnsi="仿宋_GB2312" w:cs="仿宋_GB2312" w:eastAsia="仿宋_GB2312"/>
                <w:sz w:val="24"/>
                <w:color w:val="000000"/>
              </w:rPr>
              <w:t>国家颁布的法律法规、规范、规定、规程和标准。</w:t>
            </w:r>
          </w:p>
          <w:p>
            <w:pPr>
              <w:pStyle w:val="null3"/>
            </w:pPr>
            <w:r>
              <w:rPr>
                <w:rFonts w:ascii="仿宋_GB2312" w:hAnsi="仿宋_GB2312" w:cs="仿宋_GB2312" w:eastAsia="仿宋_GB2312"/>
                <w:sz w:val="24"/>
                <w:color w:val="000000"/>
              </w:rPr>
              <w:t xml:space="preserve">  ③</w:t>
            </w:r>
            <w:r>
              <w:rPr>
                <w:rFonts w:ascii="仿宋_GB2312" w:hAnsi="仿宋_GB2312" w:cs="仿宋_GB2312" w:eastAsia="仿宋_GB2312"/>
                <w:sz w:val="24"/>
                <w:color w:val="000000"/>
              </w:rPr>
              <w:t>《</w:t>
            </w:r>
            <w:r>
              <w:rPr>
                <w:rFonts w:ascii="仿宋_GB2312" w:hAnsi="仿宋_GB2312" w:cs="仿宋_GB2312" w:eastAsia="仿宋_GB2312"/>
                <w:sz w:val="24"/>
                <w:color w:val="000000"/>
              </w:rPr>
              <w:t>水资源论证报告</w:t>
            </w:r>
            <w:r>
              <w:rPr>
                <w:rFonts w:ascii="仿宋_GB2312" w:hAnsi="仿宋_GB2312" w:cs="仿宋_GB2312" w:eastAsia="仿宋_GB2312"/>
                <w:sz w:val="24"/>
                <w:color w:val="000000"/>
              </w:rPr>
              <w:t>》内容应详实、准确，图文清楚，签署齐全。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项目组织管理机构设置及人员分工合理安排，人员配备齐全，职责划分明确。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质量要求：符合国家标准、行业标准以及有关技术规范要求。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论证报告通过审查后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（1）乙方不按合同规定的日期提交报告时，每延期一天，应扣除其合同金额的 5‰，作为违约金。 （2）甲方超过合同规定日期付费时，应付给乙方逾期违约金，违约金按照同期贷款市场报价利率 (LPR) 计算。 （3） 因乙方提供的报告未达到本合同规定的深度要求，导致该项目无法得到审批或通过论证，由此给甲方造成损失的，乙方应向甲方承担相应的违约责任。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至少包括审计报告、资产负债表、现金流量表、利润表及附注，成立时间至磋商时间不足一年的可提供成立后任意时段的资产负债表）或提供基本存款账户信息及磋商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w:t>
            </w:r>
          </w:p>
        </w:tc>
        <w:tc>
          <w:tcPr>
            <w:tcW w:type="dxa" w:w="3322"/>
          </w:tcPr>
          <w:p>
            <w:pPr>
              <w:pStyle w:val="null3"/>
            </w:pPr>
            <w:r>
              <w:rPr>
                <w:rFonts w:ascii="仿宋_GB2312" w:hAnsi="仿宋_GB2312" w:cs="仿宋_GB2312" w:eastAsia="仿宋_GB2312"/>
              </w:rPr>
              <w:t>本项目为非专门面向中小企业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提供合格有效的法人或者其他组织的营业执照等合法证明文件，自然人的身份证明。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至少包括审计报告、资产负债表、现金流量表、利润表及附注，成立时间至磋商时间不足一年的可提供成立后任意时段的资产负债表）或提供基本存款账户信息及磋商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提供响应文件提交截止时间一年内至少一个月的纳税证明或完税证明（依法不需要缴纳税收的供应商应提供相关证明）。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具有履行合同所必需的设备和专业技术能力，提供承诺书。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标的清单 供应商应提交的相关资格证明材料 报价表 服务内容及服务要求应答表.docx 响应函 磋商报价一览表.docx 资格证明文件.docx 商务条款偏离表.docx 服务方案.docx 供应商承诺书.docx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磋商报价符合唯一性要求： 开标一览表填写符合要求； 计量单位、报价货币均符合磋商文件要求； 未超出采购预算或采购文件规定的最高限价。</w:t>
            </w:r>
          </w:p>
        </w:tc>
        <w:tc>
          <w:tcPr>
            <w:tcW w:type="dxa" w:w="1661"/>
          </w:tcPr>
          <w:p>
            <w:pPr>
              <w:pStyle w:val="null3"/>
            </w:pPr>
            <w:r>
              <w:rPr>
                <w:rFonts w:ascii="仿宋_GB2312" w:hAnsi="仿宋_GB2312" w:cs="仿宋_GB2312" w:eastAsia="仿宋_GB2312"/>
              </w:rPr>
              <w:t>报价表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报价表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报价表 响应函 磋商报价一览表.docx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响应文件内容完整无缺漏。实质性条款全部响应。无采购人不能接受的附加条件</w:t>
            </w:r>
          </w:p>
        </w:tc>
        <w:tc>
          <w:tcPr>
            <w:tcW w:type="dxa" w:w="1661"/>
          </w:tcPr>
          <w:p>
            <w:pPr>
              <w:pStyle w:val="null3"/>
            </w:pPr>
            <w:r>
              <w:rPr>
                <w:rFonts w:ascii="仿宋_GB2312" w:hAnsi="仿宋_GB2312" w:cs="仿宋_GB2312" w:eastAsia="仿宋_GB2312"/>
              </w:rPr>
              <w:t>响应文件封面 标的清单 供应商应提交的相关资格证明材料 报价表 服务内容及服务要求应答表.docx 响应函 磋商报价一览表.docx 资格证明文件.docx 商务条款偏离表.docx 服务方案.docx 供应商承诺书.docx 法定代表人身份证明书及授权委托书.docx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响应文件封面 标的清单 供应商应提交的相关资格证明材料 报价表 服务内容及服务要求应答表.docx 响应函 磋商报价一览表.docx 资格证明文件.docx 商务条款偏离表.docx 服务方案.docx 供应商承诺书.docx 法定代表人身份证明书及授权委托书.docx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服务方案完整、可行且专业性强，符合水资源论证相关要求。 方案的总体思路清晰、合理、可行。方案能充分体现投标人独立处理问题能力和协助采购人完成相关工作的能力，得20-12分。 方案的总体思路相对清晰、合理、可行。方案能体现投标人独立处理问题能力和协助采购人完成相关工作的能力，得12-6分。 方案的总体思路不清晰、合理、可行。方案相对能体现投标人独立处理问题能力和协助采购人完成相关工作的能力，得6-1分。 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关键点分析及解决方案</w:t>
            </w:r>
          </w:p>
        </w:tc>
        <w:tc>
          <w:tcPr>
            <w:tcW w:type="dxa" w:w="2492"/>
          </w:tcPr>
          <w:p>
            <w:pPr>
              <w:pStyle w:val="null3"/>
            </w:pPr>
            <w:r>
              <w:rPr>
                <w:rFonts w:ascii="仿宋_GB2312" w:hAnsi="仿宋_GB2312" w:cs="仿宋_GB2312" w:eastAsia="仿宋_GB2312"/>
              </w:rPr>
              <w:t>对本项目咨询服务过程中的关键点分析及解决方案。 关键点分析透彻，解决方案的可操作性强、有效性及时以及全面，得15-10分。 关键点分析比较透彻，解决方案的可操作性比较强、有效性比较及时以及全面，得10-5分。 关键点分析不透彻，解决方案的可操作性不强、有效性不及时以及全面，得5-1分。 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服务措施承诺、各主要工作质量保证措施及成果文件编制安排</w:t>
            </w:r>
          </w:p>
        </w:tc>
        <w:tc>
          <w:tcPr>
            <w:tcW w:type="dxa" w:w="2492"/>
          </w:tcPr>
          <w:p>
            <w:pPr>
              <w:pStyle w:val="null3"/>
            </w:pPr>
            <w:r>
              <w:rPr>
                <w:rFonts w:ascii="仿宋_GB2312" w:hAnsi="仿宋_GB2312" w:cs="仿宋_GB2312" w:eastAsia="仿宋_GB2312"/>
              </w:rPr>
              <w:t>提供全面完整的服务措施承诺、各主要工作质量保证措施及成果文件编制安排，得15-10分。 提供比较全面完整的服务措施承诺、各主要工作质量保证措施及成果文件编制安排，得10-5分。 提供不全面完整的服务措施承诺、各主要工作质量保证措施及成果文件编制安排，得5-1分。 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根据响应文件对本项目理解程度，对项目的关键点、提出的合理化建议可行性、科学性强得 10-6分，合理化建议可行性较高得6-3分，合理化建议可行性程度不高得3-1分，未提供，不得分。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项目组织管理机构设置及人员分工合理安排，人员配备齐全，职责划分明确、从业年限、就拟派人员学历、专业搭配等进行对比，得10-0分，未提供的不得分。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针对本项目的后期服务，有明确的服务方案及措施，且具体、切实可行得10-7分，后期服务方案较为具体、可行得7-3分；后期服务方案可行性性一般、及时性一般，得 3-1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供应商具有类似项目业绩(时间要求：2023 年1月至今，以合同签订时间为准)，每提供一个计2分，满分10分。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 = 10× (磋商基准价/最后磋商报价) 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