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text" w:horzAnchor="page" w:tblpX="8493" w:tblpY="-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0"/>
      </w:tblGrid>
      <w:tr w14:paraId="06D2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00" w:type="dxa"/>
          </w:tcPr>
          <w:p w14:paraId="02D02970">
            <w:pPr>
              <w:rPr>
                <w:rFonts w:hint="eastAsia" w:asciiTheme="minorEastAsia" w:hAnsiTheme="minorEastAsia" w:eastAsiaTheme="minorEastAsia"/>
                <w:b/>
                <w:color w:val="000000"/>
                <w:sz w:val="32"/>
                <w:szCs w:val="32"/>
              </w:rPr>
            </w:pPr>
            <w:r>
              <w:rPr>
                <w:rFonts w:asciiTheme="minorEastAsia" w:hAnsiTheme="minorEastAsia" w:eastAsiaTheme="minorEastAsia"/>
                <w:b/>
                <w:color w:val="000000"/>
                <w:sz w:val="32"/>
                <w:szCs w:val="32"/>
              </w:rPr>
              <w:t>竞争性磋商</w:t>
            </w:r>
          </w:p>
        </w:tc>
      </w:tr>
    </w:tbl>
    <w:p w14:paraId="4E036FA9">
      <w:pPr>
        <w:rPr>
          <w:rFonts w:hint="eastAsia" w:asciiTheme="minorEastAsia" w:hAnsiTheme="minorEastAsia" w:eastAsiaTheme="minorEastAsia"/>
          <w:b/>
          <w:color w:val="000000"/>
          <w:sz w:val="32"/>
          <w:szCs w:val="32"/>
        </w:rPr>
      </w:pPr>
      <w:r>
        <w:rPr>
          <w:rFonts w:hint="eastAsia" w:asciiTheme="minorEastAsia" w:hAnsiTheme="minorEastAsia" w:eastAsiaTheme="minorEastAsia"/>
          <w:b/>
          <w:color w:val="000000"/>
          <w:sz w:val="32"/>
          <w:szCs w:val="32"/>
        </w:rPr>
        <w:t>政府采购项目</w:t>
      </w:r>
    </w:p>
    <w:p w14:paraId="74DF7236">
      <w:pPr>
        <w:jc w:val="center"/>
        <w:rPr>
          <w:rFonts w:hint="eastAsia" w:asciiTheme="minorEastAsia" w:hAnsiTheme="minorEastAsia" w:eastAsiaTheme="minorEastAsia"/>
          <w:color w:val="000000"/>
          <w:sz w:val="52"/>
          <w:szCs w:val="52"/>
        </w:rPr>
      </w:pPr>
    </w:p>
    <w:p w14:paraId="06EFD1AD">
      <w:pPr>
        <w:jc w:val="center"/>
        <w:rPr>
          <w:rFonts w:hint="eastAsia" w:asciiTheme="minorEastAsia" w:hAnsiTheme="minorEastAsia" w:eastAsiaTheme="minorEastAsia"/>
          <w:b/>
          <w:color w:val="000000"/>
          <w:sz w:val="40"/>
          <w:szCs w:val="40"/>
        </w:rPr>
      </w:pPr>
      <w:r>
        <w:rPr>
          <w:rFonts w:hint="eastAsia" w:asciiTheme="minorEastAsia" w:hAnsiTheme="minorEastAsia" w:eastAsiaTheme="minorEastAsia"/>
          <w:b/>
          <w:color w:val="000000"/>
          <w:sz w:val="40"/>
          <w:szCs w:val="40"/>
          <w:lang w:val="en-US" w:eastAsia="zh-CN"/>
        </w:rPr>
        <w:t>西延高铁阎良振兴段农田灌溉水资源论证报告</w:t>
      </w:r>
    </w:p>
    <w:p w14:paraId="735D6DEE">
      <w:pPr>
        <w:jc w:val="center"/>
        <w:rPr>
          <w:rFonts w:asciiTheme="minorEastAsia" w:hAnsiTheme="minorEastAsia" w:eastAsiaTheme="minorEastAsia"/>
          <w:b/>
          <w:color w:val="000000"/>
          <w:sz w:val="40"/>
          <w:szCs w:val="40"/>
        </w:rPr>
      </w:pPr>
    </w:p>
    <w:p w14:paraId="5B76B367">
      <w:pPr>
        <w:jc w:val="center"/>
        <w:rPr>
          <w:rFonts w:hint="eastAsia" w:asciiTheme="minorEastAsia" w:hAnsiTheme="minorEastAsia" w:eastAsiaTheme="minorEastAsia"/>
          <w:b/>
          <w:color w:val="000000"/>
          <w:sz w:val="40"/>
          <w:szCs w:val="40"/>
        </w:rPr>
      </w:pPr>
    </w:p>
    <w:p w14:paraId="59ADF4FD">
      <w:pPr>
        <w:jc w:val="center"/>
        <w:rPr>
          <w:rFonts w:hint="eastAsia" w:asciiTheme="minorEastAsia" w:hAnsiTheme="minorEastAsia" w:eastAsiaTheme="minorEastAsia"/>
          <w:b/>
          <w:color w:val="000000"/>
          <w:sz w:val="72"/>
          <w:szCs w:val="72"/>
        </w:rPr>
      </w:pPr>
      <w:r>
        <w:rPr>
          <w:rFonts w:hint="eastAsia" w:asciiTheme="minorEastAsia" w:hAnsiTheme="minorEastAsia" w:eastAsiaTheme="minorEastAsia"/>
          <w:b/>
          <w:color w:val="000000"/>
          <w:sz w:val="72"/>
          <w:szCs w:val="72"/>
        </w:rPr>
        <w:t>服 务 合 同</w:t>
      </w:r>
    </w:p>
    <w:p w14:paraId="019C8294">
      <w:pPr>
        <w:jc w:val="center"/>
        <w:rPr>
          <w:rFonts w:hint="eastAsia" w:asciiTheme="minorEastAsia" w:hAnsiTheme="minorEastAsia" w:eastAsiaTheme="minorEastAsia"/>
          <w:color w:val="000000"/>
          <w:sz w:val="30"/>
          <w:szCs w:val="30"/>
        </w:rPr>
      </w:pPr>
    </w:p>
    <w:p w14:paraId="6C4A141F">
      <w:pPr>
        <w:jc w:val="center"/>
        <w:rPr>
          <w:rFonts w:hint="eastAsia" w:asciiTheme="minorEastAsia" w:hAnsiTheme="minorEastAsia" w:eastAsiaTheme="minorEastAsia"/>
          <w:color w:val="000000"/>
          <w:sz w:val="30"/>
          <w:szCs w:val="30"/>
        </w:rPr>
      </w:pPr>
    </w:p>
    <w:p w14:paraId="70F2D77B">
      <w:pPr>
        <w:jc w:val="center"/>
        <w:rPr>
          <w:rFonts w:hint="eastAsia" w:asciiTheme="minorEastAsia" w:hAnsiTheme="minorEastAsia" w:eastAsiaTheme="minorEastAsia"/>
          <w:color w:val="000000"/>
          <w:sz w:val="30"/>
          <w:szCs w:val="30"/>
        </w:rPr>
      </w:pPr>
    </w:p>
    <w:p w14:paraId="2F41768E">
      <w:pPr>
        <w:jc w:val="center"/>
        <w:rPr>
          <w:rFonts w:hint="eastAsia" w:asciiTheme="minorEastAsia" w:hAnsiTheme="minorEastAsia" w:eastAsiaTheme="minorEastAsia"/>
          <w:color w:val="000000"/>
          <w:sz w:val="30"/>
          <w:szCs w:val="30"/>
        </w:rPr>
      </w:pPr>
    </w:p>
    <w:p w14:paraId="7D6DFC93">
      <w:pPr>
        <w:jc w:val="center"/>
        <w:rPr>
          <w:rFonts w:hint="eastAsia" w:asciiTheme="minorEastAsia" w:hAnsiTheme="minorEastAsia" w:eastAsiaTheme="minorEastAsia"/>
          <w:color w:val="000000"/>
          <w:sz w:val="30"/>
          <w:szCs w:val="30"/>
        </w:rPr>
      </w:pPr>
    </w:p>
    <w:p w14:paraId="5E637919">
      <w:pPr>
        <w:jc w:val="center"/>
        <w:rPr>
          <w:rFonts w:hint="eastAsia" w:asciiTheme="minorEastAsia" w:hAnsiTheme="minorEastAsia" w:eastAsiaTheme="minorEastAsia"/>
          <w:color w:val="000000"/>
          <w:sz w:val="30"/>
          <w:szCs w:val="30"/>
        </w:rPr>
      </w:pPr>
    </w:p>
    <w:p w14:paraId="29299989">
      <w:pPr>
        <w:jc w:val="center"/>
        <w:rPr>
          <w:rFonts w:hint="eastAsia" w:asciiTheme="minorEastAsia" w:hAnsiTheme="minorEastAsia" w:eastAsiaTheme="minorEastAsia"/>
          <w:color w:val="000000"/>
          <w:sz w:val="28"/>
          <w:szCs w:val="28"/>
        </w:rPr>
      </w:pPr>
    </w:p>
    <w:p w14:paraId="3BF3F45C">
      <w:pPr>
        <w:jc w:val="center"/>
        <w:rPr>
          <w:rFonts w:hint="eastAsia" w:asciiTheme="minorEastAsia" w:hAnsiTheme="minorEastAsia" w:eastAsiaTheme="minorEastAsia"/>
          <w:color w:val="000000"/>
          <w:sz w:val="30"/>
          <w:szCs w:val="30"/>
        </w:rPr>
      </w:pPr>
    </w:p>
    <w:p w14:paraId="18F2543A">
      <w:pPr>
        <w:jc w:val="center"/>
        <w:rPr>
          <w:rFonts w:hint="eastAsia" w:asciiTheme="minorEastAsia" w:hAnsiTheme="minorEastAsia" w:eastAsiaTheme="minorEastAsia"/>
          <w:color w:val="000000"/>
          <w:sz w:val="30"/>
          <w:szCs w:val="30"/>
        </w:rPr>
      </w:pPr>
    </w:p>
    <w:p w14:paraId="2395F0A4">
      <w:pPr>
        <w:jc w:val="center"/>
        <w:rPr>
          <w:rFonts w:hint="eastAsia" w:asciiTheme="minorEastAsia" w:hAnsiTheme="minorEastAsia" w:eastAsiaTheme="minorEastAsia"/>
          <w:color w:val="000000"/>
          <w:sz w:val="30"/>
          <w:szCs w:val="30"/>
        </w:rPr>
      </w:pPr>
    </w:p>
    <w:p w14:paraId="4A3D8690">
      <w:pPr>
        <w:jc w:val="center"/>
        <w:rPr>
          <w:rFonts w:hint="eastAsia" w:asciiTheme="minorEastAsia" w:hAnsiTheme="minorEastAsia" w:eastAsiaTheme="minorEastAsia"/>
          <w:color w:val="000000"/>
          <w:sz w:val="30"/>
          <w:szCs w:val="30"/>
        </w:rPr>
      </w:pPr>
    </w:p>
    <w:p w14:paraId="35602AFD">
      <w:pPr>
        <w:ind w:firstLine="1600" w:firstLineChars="500"/>
        <w:jc w:val="left"/>
        <w:rPr>
          <w:rFonts w:hint="eastAsia"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甲  方：</w:t>
      </w:r>
      <w:r>
        <w:rPr>
          <w:rFonts w:hint="eastAsia" w:asciiTheme="minorEastAsia" w:hAnsiTheme="minorEastAsia" w:eastAsiaTheme="minorEastAsia"/>
          <w:color w:val="000000"/>
          <w:sz w:val="32"/>
          <w:szCs w:val="32"/>
          <w:lang w:eastAsia="zh-CN"/>
        </w:rPr>
        <w:t>西安市阎良区振兴街道办事处</w:t>
      </w:r>
    </w:p>
    <w:p w14:paraId="455DFC3C">
      <w:pPr>
        <w:tabs>
          <w:tab w:val="left" w:pos="480"/>
        </w:tabs>
        <w:ind w:firstLine="1600" w:firstLineChars="500"/>
        <w:rPr>
          <w:rFonts w:hint="eastAsia"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乙  方：</w:t>
      </w:r>
    </w:p>
    <w:p w14:paraId="41A258D9">
      <w:pPr>
        <w:jc w:val="center"/>
        <w:rPr>
          <w:rFonts w:hint="eastAsia" w:asciiTheme="minorEastAsia" w:hAnsiTheme="minorEastAsia" w:eastAsiaTheme="minorEastAsia"/>
          <w:color w:val="000000"/>
          <w:sz w:val="30"/>
          <w:szCs w:val="30"/>
        </w:rPr>
      </w:pPr>
    </w:p>
    <w:p w14:paraId="0C374883">
      <w:pPr>
        <w:jc w:val="center"/>
        <w:rPr>
          <w:rFonts w:hint="eastAsia"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年</w:t>
      </w:r>
      <w:r>
        <w:rPr>
          <w:rFonts w:hint="eastAsia" w:asciiTheme="minorEastAsia" w:hAnsiTheme="minorEastAsia" w:eastAsiaTheme="minorEastAsia"/>
          <w:color w:val="000000"/>
          <w:sz w:val="32"/>
          <w:szCs w:val="32"/>
          <w:lang w:val="en-US" w:eastAsia="zh-CN"/>
        </w:rPr>
        <w:t xml:space="preserve">     </w:t>
      </w:r>
      <w:r>
        <w:rPr>
          <w:rFonts w:hint="eastAsia" w:asciiTheme="minorEastAsia" w:hAnsiTheme="minorEastAsia" w:eastAsiaTheme="minorEastAsia"/>
          <w:color w:val="000000"/>
          <w:sz w:val="32"/>
          <w:szCs w:val="32"/>
        </w:rPr>
        <w:t>月</w:t>
      </w:r>
    </w:p>
    <w:p w14:paraId="3FE58E99">
      <w:pPr>
        <w:jc w:val="center"/>
        <w:rPr>
          <w:rFonts w:hint="eastAsia"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中国  西安</w:t>
      </w:r>
    </w:p>
    <w:p w14:paraId="649C6895">
      <w:pPr>
        <w:jc w:val="center"/>
        <w:rPr>
          <w:rFonts w:hint="eastAsia" w:asciiTheme="minorEastAsia" w:hAnsiTheme="minorEastAsia" w:eastAsiaTheme="minorEastAsia"/>
          <w:b/>
          <w:color w:val="000000"/>
          <w:sz w:val="36"/>
          <w:szCs w:val="36"/>
        </w:rPr>
      </w:pPr>
    </w:p>
    <w:p w14:paraId="03614CDD">
      <w:pPr>
        <w:rPr>
          <w:rFonts w:hint="eastAsia" w:ascii="宋体" w:hAnsi="宋体" w:eastAsia="宋体" w:cs="宋体"/>
          <w:b/>
          <w:bCs/>
          <w:sz w:val="48"/>
          <w:szCs w:val="48"/>
        </w:rPr>
      </w:pPr>
      <w:r>
        <w:rPr>
          <w:rFonts w:hint="eastAsia" w:ascii="宋体" w:hAnsi="宋体" w:eastAsia="宋体" w:cs="宋体"/>
          <w:b/>
          <w:bCs/>
          <w:sz w:val="48"/>
          <w:szCs w:val="48"/>
        </w:rPr>
        <w:br w:type="page"/>
      </w:r>
    </w:p>
    <w:p w14:paraId="5DA009D6">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b/>
          <w:bCs/>
          <w:sz w:val="48"/>
          <w:szCs w:val="48"/>
        </w:rPr>
      </w:pPr>
      <w:r>
        <w:rPr>
          <w:rFonts w:hint="eastAsia" w:ascii="宋体" w:hAnsi="宋体" w:eastAsia="宋体" w:cs="宋体"/>
          <w:b/>
          <w:bCs/>
          <w:sz w:val="48"/>
          <w:szCs w:val="48"/>
        </w:rPr>
        <w:t>技术咨询合同书</w:t>
      </w:r>
    </w:p>
    <w:p w14:paraId="3B6B8720">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签约各方就合同书中所描述项目的技术咨询内容、工作条件、费用支付、验收标准、违约责任以及与之相关的技术和法律问题经过平等协商，在真实、充分地表达各自意愿的基础上，根据《中华人民共和国民法典》之规定，达成如下协议，由签约各方共同恪守。</w:t>
      </w:r>
    </w:p>
    <w:p w14:paraId="585F51F7">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第一条：签约方</w:t>
      </w:r>
    </w:p>
    <w:p w14:paraId="4ED5F2AB">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z w:val="24"/>
          <w:szCs w:val="24"/>
        </w:rPr>
        <w:t>委托方 (甲方) ：</w:t>
      </w:r>
      <w:r>
        <w:rPr>
          <w:rFonts w:hint="eastAsia" w:ascii="宋体" w:hAnsi="宋体" w:eastAsia="宋体" w:cs="宋体"/>
          <w:sz w:val="24"/>
          <w:szCs w:val="24"/>
          <w:u w:val="single"/>
          <w:lang w:val="en-US" w:eastAsia="zh-CN"/>
        </w:rPr>
        <w:t xml:space="preserve">                                                   </w:t>
      </w:r>
    </w:p>
    <w:p w14:paraId="5AC44AED">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z w:val="24"/>
          <w:szCs w:val="24"/>
        </w:rPr>
        <w:t>受托方 (乙方) ：</w:t>
      </w:r>
      <w:r>
        <w:rPr>
          <w:rFonts w:hint="eastAsia" w:ascii="宋体" w:hAnsi="宋体" w:eastAsia="宋体" w:cs="宋体"/>
          <w:sz w:val="24"/>
          <w:szCs w:val="24"/>
          <w:u w:val="single"/>
          <w:lang w:val="en-US" w:eastAsia="zh-CN"/>
        </w:rPr>
        <w:t xml:space="preserve">                                                    </w:t>
      </w:r>
    </w:p>
    <w:p w14:paraId="7AEAD614">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第二条：合同性质</w:t>
      </w:r>
    </w:p>
    <w:p w14:paraId="25235839">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本合同属于技术咨询合同。</w:t>
      </w:r>
    </w:p>
    <w:p w14:paraId="4C4AFA3E">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default" w:ascii="宋体" w:hAnsi="宋体" w:eastAsia="宋体" w:cs="宋体"/>
          <w:sz w:val="24"/>
          <w:szCs w:val="24"/>
          <w:lang w:val="en-US" w:eastAsia="zh-CN"/>
        </w:rPr>
      </w:pPr>
      <w:r>
        <w:rPr>
          <w:rFonts w:hint="eastAsia" w:ascii="宋体" w:hAnsi="宋体" w:eastAsia="宋体" w:cs="宋体"/>
          <w:b/>
          <w:bCs/>
          <w:sz w:val="24"/>
          <w:szCs w:val="24"/>
        </w:rPr>
        <w:t>第三条：签约时间和地点：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385DA1E6">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default" w:ascii="宋体" w:hAnsi="宋体" w:eastAsia="宋体" w:cs="宋体"/>
          <w:b/>
          <w:bCs/>
          <w:sz w:val="24"/>
          <w:szCs w:val="24"/>
          <w:lang w:val="en-US" w:eastAsia="zh-CN"/>
        </w:rPr>
      </w:pPr>
      <w:r>
        <w:rPr>
          <w:rFonts w:hint="eastAsia" w:ascii="宋体" w:hAnsi="宋体" w:eastAsia="宋体" w:cs="宋体"/>
          <w:b/>
          <w:bCs/>
          <w:sz w:val="24"/>
          <w:szCs w:val="24"/>
        </w:rPr>
        <w:t>第四条：</w:t>
      </w:r>
      <w:r>
        <w:rPr>
          <w:rFonts w:hint="eastAsia" w:ascii="宋体" w:hAnsi="宋体" w:eastAsia="宋体" w:cs="宋体"/>
          <w:b/>
          <w:bCs/>
          <w:sz w:val="24"/>
          <w:szCs w:val="24"/>
          <w:lang w:val="en-US" w:eastAsia="zh-CN"/>
        </w:rPr>
        <w:t>合同内容</w:t>
      </w:r>
    </w:p>
    <w:p w14:paraId="00F372CB">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7F05E3B8">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4.1 本合同服务内容：依据《建设项目水资源论证导则》的要求，对建设项目所在区域水资源开发利用现状、取水水源合理性与可行性、用水量的合理性、节水潜力分析、节水评价、施工期和运行期退水对环境的影响、开发利用水资源对水资源现状及其他取水用户的影响进行分析论证，并提出水资源保护措施，作为取水许可审批依据</w:t>
      </w:r>
      <w:r>
        <w:rPr>
          <w:rFonts w:hint="eastAsia" w:ascii="宋体" w:hAnsi="宋体" w:cs="宋体"/>
          <w:sz w:val="24"/>
          <w:szCs w:val="24"/>
          <w:lang w:eastAsia="zh-CN"/>
        </w:rPr>
        <w:t>。</w:t>
      </w:r>
      <w:r>
        <w:rPr>
          <w:rFonts w:hint="eastAsia" w:ascii="宋体" w:hAnsi="宋体" w:cs="宋体"/>
          <w:sz w:val="24"/>
          <w:szCs w:val="24"/>
          <w:lang w:val="en-US" w:eastAsia="zh-CN"/>
        </w:rPr>
        <w:t>协助采购人</w:t>
      </w:r>
      <w:r>
        <w:rPr>
          <w:rFonts w:hint="eastAsia" w:ascii="宋体" w:hAnsi="宋体" w:cs="宋体"/>
          <w:sz w:val="24"/>
          <w:szCs w:val="24"/>
          <w:lang w:eastAsia="zh-CN"/>
        </w:rPr>
        <w:t>通过专家评审、办理取水许可证</w:t>
      </w:r>
      <w:r>
        <w:rPr>
          <w:rFonts w:hint="eastAsia" w:ascii="宋体" w:hAnsi="宋体" w:cs="宋体"/>
          <w:sz w:val="24"/>
          <w:szCs w:val="24"/>
          <w:lang w:val="en-US" w:eastAsia="zh-CN"/>
        </w:rPr>
        <w:t>及</w:t>
      </w:r>
      <w:r>
        <w:rPr>
          <w:rFonts w:hint="eastAsia" w:ascii="宋体" w:hAnsi="宋体" w:cs="宋体"/>
          <w:sz w:val="24"/>
          <w:szCs w:val="24"/>
          <w:lang w:eastAsia="zh-CN"/>
        </w:rPr>
        <w:t>编写《地下水取水工程建设方案》</w:t>
      </w:r>
      <w:r>
        <w:rPr>
          <w:rFonts w:hint="eastAsia" w:ascii="宋体" w:hAnsi="宋体" w:cs="宋体"/>
          <w:sz w:val="24"/>
          <w:szCs w:val="24"/>
          <w:lang w:val="en-US" w:eastAsia="zh-CN"/>
        </w:rPr>
        <w:t>等</w:t>
      </w:r>
      <w:r>
        <w:rPr>
          <w:rFonts w:hint="eastAsia" w:ascii="宋体" w:hAnsi="宋体" w:eastAsia="宋体" w:cs="宋体"/>
          <w:sz w:val="24"/>
          <w:szCs w:val="24"/>
        </w:rPr>
        <w:t>。</w:t>
      </w:r>
    </w:p>
    <w:p w14:paraId="36F54D5D">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4.2 成果要求：</w:t>
      </w:r>
      <w:r>
        <w:rPr>
          <w:rFonts w:hint="eastAsia" w:ascii="宋体" w:hAnsi="宋体" w:eastAsia="宋体" w:cs="宋体"/>
          <w:sz w:val="24"/>
          <w:szCs w:val="24"/>
        </w:rPr>
        <w:t>《水资源论证报告》编制成果符合《建设项目水资源论证导则》。</w:t>
      </w:r>
    </w:p>
    <w:p w14:paraId="452E8A7A">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napToGrid w:val="0"/>
          <w:color w:val="000000"/>
          <w:kern w:val="0"/>
          <w:sz w:val="24"/>
          <w:szCs w:val="24"/>
          <w:lang w:val="en-US" w:eastAsia="zh-CN"/>
        </w:rPr>
      </w:pPr>
      <w:r>
        <w:rPr>
          <w:rFonts w:hint="eastAsia" w:ascii="宋体" w:hAnsi="宋体" w:eastAsia="宋体" w:cs="宋体"/>
          <w:sz w:val="24"/>
          <w:szCs w:val="24"/>
          <w:lang w:val="en-US" w:eastAsia="zh-CN"/>
        </w:rPr>
        <w:t>4.3</w:t>
      </w:r>
      <w:r>
        <w:rPr>
          <w:rFonts w:hint="eastAsia" w:ascii="宋体" w:hAnsi="宋体" w:cs="宋体"/>
          <w:sz w:val="24"/>
          <w:szCs w:val="24"/>
          <w:lang w:val="en-US" w:eastAsia="zh-CN"/>
        </w:rPr>
        <w:t xml:space="preserve"> </w:t>
      </w:r>
      <w:bookmarkStart w:id="1" w:name="_GoBack"/>
      <w:bookmarkEnd w:id="1"/>
      <w:r>
        <w:rPr>
          <w:rFonts w:hint="eastAsia" w:ascii="宋体" w:hAnsi="宋体" w:eastAsia="宋体" w:cs="宋体"/>
          <w:snapToGrid w:val="0"/>
          <w:color w:val="000000"/>
          <w:kern w:val="0"/>
          <w:sz w:val="24"/>
          <w:szCs w:val="24"/>
          <w:lang w:val="en-US" w:eastAsia="zh-CN"/>
        </w:rPr>
        <w:t>技术服务质量：</w:t>
      </w:r>
    </w:p>
    <w:p w14:paraId="44C3E3A7">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（1）乙方按规定时间完成《</w:t>
      </w:r>
      <w:r>
        <w:rPr>
          <w:rFonts w:hint="eastAsia" w:ascii="宋体" w:hAnsi="宋体" w:eastAsia="宋体" w:cs="宋体"/>
          <w:sz w:val="24"/>
          <w:szCs w:val="24"/>
        </w:rPr>
        <w:t>水资源论证报告</w:t>
      </w:r>
      <w:r>
        <w:rPr>
          <w:rFonts w:hint="eastAsia" w:ascii="宋体" w:hAnsi="宋体" w:eastAsia="宋体" w:cs="宋体"/>
          <w:snapToGrid w:val="0"/>
          <w:color w:val="000000"/>
          <w:kern w:val="0"/>
          <w:sz w:val="24"/>
          <w:szCs w:val="24"/>
          <w:lang w:val="en-US" w:eastAsia="zh-CN"/>
        </w:rPr>
        <w:t>》的编制工作，成果符合甲方的相关要求；</w:t>
      </w:r>
    </w:p>
    <w:p w14:paraId="33AD58CF">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（2）《</w:t>
      </w:r>
      <w:r>
        <w:rPr>
          <w:rFonts w:hint="eastAsia" w:ascii="宋体" w:hAnsi="宋体" w:eastAsia="宋体" w:cs="宋体"/>
          <w:sz w:val="24"/>
          <w:szCs w:val="24"/>
        </w:rPr>
        <w:t>水资源论证报告</w:t>
      </w:r>
      <w:r>
        <w:rPr>
          <w:rFonts w:hint="eastAsia" w:ascii="宋体" w:hAnsi="宋体" w:eastAsia="宋体" w:cs="宋体"/>
          <w:snapToGrid w:val="0"/>
          <w:color w:val="000000"/>
          <w:kern w:val="0"/>
          <w:sz w:val="24"/>
          <w:szCs w:val="24"/>
          <w:lang w:val="en-US" w:eastAsia="zh-CN"/>
        </w:rPr>
        <w:t>》应紧密结合项目情况，</w:t>
      </w:r>
      <w:r>
        <w:rPr>
          <w:rFonts w:hint="eastAsia" w:ascii="宋体" w:hAnsi="宋体" w:eastAsia="宋体" w:cs="宋体"/>
          <w:sz w:val="24"/>
          <w:szCs w:val="24"/>
        </w:rPr>
        <w:t>符合《建设项目水资源论证导则》</w:t>
      </w:r>
      <w:r>
        <w:rPr>
          <w:rFonts w:hint="eastAsia" w:ascii="宋体" w:hAnsi="宋体" w:eastAsia="宋体" w:cs="宋体"/>
          <w:sz w:val="24"/>
          <w:szCs w:val="24"/>
          <w:lang w:val="en-US" w:eastAsia="zh-CN"/>
        </w:rPr>
        <w:t>及</w:t>
      </w:r>
      <w:r>
        <w:rPr>
          <w:rFonts w:hint="eastAsia" w:ascii="宋体" w:hAnsi="宋体" w:eastAsia="宋体" w:cs="宋体"/>
          <w:snapToGrid w:val="0"/>
          <w:color w:val="000000"/>
          <w:kern w:val="0"/>
          <w:sz w:val="24"/>
          <w:szCs w:val="24"/>
          <w:lang w:val="en-US" w:eastAsia="zh-CN"/>
        </w:rPr>
        <w:t>国家颁布的法律法规、规范、规定、规程和标准。</w:t>
      </w:r>
    </w:p>
    <w:p w14:paraId="4AB14B69">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（3）《</w:t>
      </w:r>
      <w:r>
        <w:rPr>
          <w:rFonts w:hint="eastAsia" w:ascii="宋体" w:hAnsi="宋体" w:eastAsia="宋体" w:cs="宋体"/>
          <w:sz w:val="24"/>
          <w:szCs w:val="24"/>
        </w:rPr>
        <w:t>水资源论证报告</w:t>
      </w:r>
      <w:r>
        <w:rPr>
          <w:rFonts w:hint="eastAsia" w:ascii="宋体" w:hAnsi="宋体" w:eastAsia="宋体" w:cs="宋体"/>
          <w:snapToGrid w:val="0"/>
          <w:color w:val="000000"/>
          <w:kern w:val="0"/>
          <w:sz w:val="24"/>
          <w:szCs w:val="24"/>
          <w:lang w:val="en-US" w:eastAsia="zh-CN"/>
        </w:rPr>
        <w:t>》内容应详实、准确，图文清楚，签署齐全。</w:t>
      </w:r>
    </w:p>
    <w:p w14:paraId="4D740FE1">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sz w:val="24"/>
          <w:szCs w:val="24"/>
        </w:rPr>
      </w:pPr>
      <w:r>
        <w:rPr>
          <w:rFonts w:hint="eastAsia" w:ascii="宋体" w:hAnsi="宋体" w:eastAsia="宋体" w:cs="宋体"/>
          <w:b/>
          <w:bCs/>
          <w:sz w:val="24"/>
          <w:szCs w:val="24"/>
        </w:rPr>
        <w:t>第五条：计划安排</w:t>
      </w:r>
    </w:p>
    <w:p w14:paraId="44D0B597">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rPr>
        <w:t>5.1 受托方进行咨询的地点：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14B9546B">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5.2 受托方进行咨询的进度安排：</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0D0673B9">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第六条：权利和义务</w:t>
      </w:r>
    </w:p>
    <w:p w14:paraId="15EE310E">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 xml:space="preserve">6.1 </w:t>
      </w:r>
      <w:r>
        <w:rPr>
          <w:rFonts w:hint="eastAsia" w:ascii="宋体" w:hAnsi="宋体" w:eastAsia="宋体" w:cs="宋体"/>
          <w:sz w:val="24"/>
          <w:szCs w:val="24"/>
        </w:rPr>
        <w:t>甲方的权利和义务</w:t>
      </w:r>
    </w:p>
    <w:p w14:paraId="1582081C">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1）甲方应及时提供《</w:t>
      </w:r>
      <w:r>
        <w:rPr>
          <w:rFonts w:hint="eastAsia" w:ascii="宋体" w:hAnsi="宋体" w:eastAsia="宋体" w:cs="宋体"/>
          <w:sz w:val="24"/>
          <w:szCs w:val="24"/>
        </w:rPr>
        <w:t>水资源</w:t>
      </w:r>
      <w:r>
        <w:rPr>
          <w:rFonts w:hint="eastAsia" w:ascii="宋体" w:hAnsi="宋体" w:eastAsia="宋体" w:cs="宋体"/>
          <w:sz w:val="24"/>
          <w:szCs w:val="24"/>
          <w:lang w:val="en-US" w:eastAsia="zh-CN"/>
        </w:rPr>
        <w:t>论证</w:t>
      </w:r>
      <w:r>
        <w:rPr>
          <w:rFonts w:hint="eastAsia" w:ascii="宋体" w:hAnsi="宋体" w:eastAsia="宋体" w:cs="宋体"/>
          <w:sz w:val="24"/>
          <w:szCs w:val="24"/>
        </w:rPr>
        <w:t>报告</w:t>
      </w:r>
      <w:r>
        <w:rPr>
          <w:rFonts w:hint="eastAsia" w:ascii="宋体" w:hAnsi="宋体" w:eastAsia="宋体" w:cs="宋体"/>
          <w:sz w:val="24"/>
          <w:szCs w:val="24"/>
          <w:lang w:val="en-US" w:eastAsia="zh-CN"/>
        </w:rPr>
        <w:t>》编制所需资料、配合外业查勘、有关问题答复等。</w:t>
      </w:r>
    </w:p>
    <w:p w14:paraId="44BA841D">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 甲方有权对合同规定范围内乙方的服务行为进行监督和检查，拥有监管权。有权定期核对乙方提供服务所配备的人员数量。对甲方认为不合理的部分有权下达整改通知书</w:t>
      </w:r>
      <w:r>
        <w:rPr>
          <w:rFonts w:hint="eastAsia" w:ascii="宋体" w:hAnsi="宋体" w:eastAsia="宋体" w:cs="宋体"/>
          <w:sz w:val="24"/>
          <w:szCs w:val="24"/>
          <w:lang w:eastAsia="zh-CN"/>
        </w:rPr>
        <w:t>，</w:t>
      </w:r>
      <w:r>
        <w:rPr>
          <w:rFonts w:hint="eastAsia" w:ascii="宋体" w:hAnsi="宋体" w:eastAsia="宋体" w:cs="宋体"/>
          <w:sz w:val="24"/>
          <w:szCs w:val="24"/>
        </w:rPr>
        <w:t>并要求乙方限期整改。</w:t>
      </w:r>
    </w:p>
    <w:p w14:paraId="64F24220">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 负责检查监督乙方管理工作的实施及制度的执行情况。</w:t>
      </w:r>
    </w:p>
    <w:p w14:paraId="669C73FF">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rPr>
        <w:t xml:space="preserve">4) </w:t>
      </w:r>
      <w:r>
        <w:rPr>
          <w:rFonts w:hint="eastAsia" w:ascii="宋体" w:hAnsi="宋体" w:eastAsia="宋体" w:cs="宋体"/>
          <w:sz w:val="24"/>
          <w:szCs w:val="24"/>
          <w:lang w:val="en-US" w:eastAsia="zh-CN"/>
        </w:rPr>
        <w:t>根据国家法律、法规、标准等有关规定和合同文件要求开展工作，不得提出与国家或行业有关标准规定相抵触的要求。</w:t>
      </w:r>
    </w:p>
    <w:p w14:paraId="7125397F">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 根据本合同规定，按时向乙方支付服务费用。</w:t>
      </w:r>
    </w:p>
    <w:p w14:paraId="3D07C3A7">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 国家法律、法规所规定由甲方承担的其它责任。</w:t>
      </w:r>
    </w:p>
    <w:p w14:paraId="72AF085B">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6.2 乙方的权利和义务</w:t>
      </w:r>
    </w:p>
    <w:p w14:paraId="6DCD3970">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 xml:space="preserve">1) </w:t>
      </w:r>
      <w:r>
        <w:rPr>
          <w:rFonts w:hint="eastAsia" w:ascii="宋体" w:hAnsi="宋体" w:eastAsia="宋体" w:cs="宋体"/>
          <w:sz w:val="24"/>
          <w:szCs w:val="24"/>
          <w:lang w:val="en-US" w:eastAsia="zh-CN"/>
        </w:rPr>
        <w:t>按照国家及有关标准规定和合同文件要求进行实施。</w:t>
      </w:r>
    </w:p>
    <w:p w14:paraId="2B4A4DBE">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 对本合同规定的委托服务范围内的项目享有管理权及服务义务。</w:t>
      </w:r>
    </w:p>
    <w:p w14:paraId="7B206DB3">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对项目的完整性、准确性、可靠性、稳定性负责，保证项目质量。</w:t>
      </w:r>
    </w:p>
    <w:p w14:paraId="31BB3D34">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根据本合同的规定向甲方收取相关服务费用</w:t>
      </w:r>
      <w:r>
        <w:rPr>
          <w:rFonts w:hint="eastAsia" w:ascii="宋体" w:hAnsi="宋体" w:eastAsia="宋体" w:cs="宋体"/>
          <w:sz w:val="24"/>
          <w:szCs w:val="24"/>
          <w:lang w:eastAsia="zh-CN"/>
        </w:rPr>
        <w:t>。</w:t>
      </w:r>
    </w:p>
    <w:p w14:paraId="45DA6D39">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 及时向甲方通告本项目服务范围内有关服务的重大事项，及时配合处理投诉。</w:t>
      </w:r>
    </w:p>
    <w:p w14:paraId="3D317AD6">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 接受项目行业管理部门及政府有关部门的指导，接受甲方的监督。</w:t>
      </w:r>
    </w:p>
    <w:p w14:paraId="1F36255C">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 国家法律、法规所规定由乙方承担的其它责任。</w:t>
      </w:r>
    </w:p>
    <w:p w14:paraId="53AC6715">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第七条：双方确定因履行本合同应遵守的保密义务如下：</w:t>
      </w:r>
    </w:p>
    <w:p w14:paraId="242D0E1C">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7.1 </w:t>
      </w:r>
      <w:r>
        <w:rPr>
          <w:rFonts w:hint="eastAsia" w:ascii="宋体" w:hAnsi="宋体" w:eastAsia="宋体" w:cs="宋体"/>
          <w:sz w:val="24"/>
          <w:szCs w:val="24"/>
        </w:rPr>
        <w:t>保密范围：与本项目有关的技术及商业资料。</w:t>
      </w:r>
      <w:r>
        <w:rPr>
          <w:rFonts w:hint="eastAsia" w:ascii="宋体" w:hAnsi="宋体" w:eastAsia="宋体" w:cs="宋体"/>
          <w:sz w:val="24"/>
          <w:szCs w:val="24"/>
          <w:lang w:val="en-US" w:eastAsia="zh-CN"/>
        </w:rPr>
        <w:t>严格按照国家保密规定承担质量保密责任，提出保密具体措施，不得将本合同部分或全部的技术资料复印、外传、丢失。资料使用后应按协商时间交回甲方。</w:t>
      </w:r>
    </w:p>
    <w:p w14:paraId="5FA14B6C">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7.2 保密期限：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463C7A4A">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第八条：实施风险责任</w:t>
      </w:r>
    </w:p>
    <w:p w14:paraId="0C41A300">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委托方按照受托方符合约定要求的咨询报告和意见作出决策所造成的损失，按照双方协商解决。</w:t>
      </w:r>
    </w:p>
    <w:p w14:paraId="5582619B">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第九条：验收标准及方法：</w:t>
      </w:r>
    </w:p>
    <w:p w14:paraId="26ED2746">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 xml:space="preserve">9.1 </w:t>
      </w:r>
      <w:r>
        <w:rPr>
          <w:rFonts w:hint="eastAsia" w:ascii="宋体" w:hAnsi="宋体" w:eastAsia="宋体" w:cs="宋体"/>
          <w:sz w:val="24"/>
          <w:szCs w:val="24"/>
        </w:rPr>
        <w:t>成果文件要求：《水资源论证报告》编制成果符合《建设项目水资源论 证导则》。</w:t>
      </w:r>
    </w:p>
    <w:p w14:paraId="3B867AE5">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rPr>
        <w:t>9.2  交付地点：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0438BD19">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z w:val="24"/>
          <w:szCs w:val="24"/>
        </w:rPr>
        <w:t>9.3  验收方法：</w:t>
      </w:r>
      <w:r>
        <w:rPr>
          <w:rFonts w:hint="eastAsia" w:ascii="宋体" w:hAnsi="宋体" w:eastAsia="宋体" w:cs="宋体"/>
          <w:sz w:val="24"/>
          <w:szCs w:val="24"/>
          <w:u w:val="single"/>
          <w:lang w:val="en-US" w:eastAsia="zh-CN"/>
        </w:rPr>
        <w:t xml:space="preserve">                                                           </w:t>
      </w:r>
    </w:p>
    <w:p w14:paraId="0CC5F394">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第十条：甲方向乙方支付技术咨询费及支付方式为：</w:t>
      </w:r>
    </w:p>
    <w:p w14:paraId="6C6A5E54">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 xml:space="preserve">10.1 </w:t>
      </w:r>
      <w:r>
        <w:rPr>
          <w:rFonts w:hint="eastAsia" w:ascii="宋体" w:hAnsi="宋体" w:eastAsia="宋体" w:cs="宋体"/>
          <w:sz w:val="24"/>
          <w:szCs w:val="24"/>
        </w:rPr>
        <w:t>本项目服务费含税总价为 (大写)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(小写)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6EBC9974">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包括调查研究、分析论证、专家论证费及报告文本补充修订等经费为均包含 在以上费用内。</w:t>
      </w:r>
    </w:p>
    <w:p w14:paraId="063B9480">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10.2 本合同费用，支付方式：</w:t>
      </w:r>
      <w:r>
        <w:rPr>
          <w:rFonts w:hint="eastAsia" w:ascii="宋体" w:hAnsi="宋体" w:eastAsia="宋体" w:cs="宋体"/>
          <w:sz w:val="24"/>
          <w:szCs w:val="24"/>
          <w:highlight w:val="none"/>
          <w:u w:val="single"/>
          <w:lang w:val="en-US" w:eastAsia="zh-CN"/>
        </w:rPr>
        <w:t xml:space="preserve">论证报告通过审查后一次付全款。 </w:t>
      </w:r>
    </w:p>
    <w:p w14:paraId="392E00EB">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第十一条：违约责任</w:t>
      </w:r>
    </w:p>
    <w:p w14:paraId="3BB937F5">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11.1</w:t>
      </w:r>
      <w:r>
        <w:rPr>
          <w:rFonts w:hint="eastAsia" w:ascii="宋体" w:hAnsi="宋体" w:eastAsia="宋体" w:cs="宋体"/>
          <w:sz w:val="24"/>
          <w:szCs w:val="24"/>
        </w:rPr>
        <w:t xml:space="preserve"> 乙方不按合同规定的日期提交报告时，每延期一天，应扣除其合同金额的 5‰，作为违约金。</w:t>
      </w:r>
    </w:p>
    <w:p w14:paraId="268B4EF1">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11.2 甲方超过合同规定日期付费时，应付给乙方逾期违约金，违约金按照同期贷款市场报价利率 (LPR) 计算。</w:t>
      </w:r>
    </w:p>
    <w:p w14:paraId="3FB6B6F0">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11.3 因乙方提供的报告未达到本合同规定的深度要求，导致该项目无法得到审批或通过论证，由此给甲方造成损失的，乙方应向甲方承担相应的违约责任</w:t>
      </w:r>
      <w:r>
        <w:rPr>
          <w:rFonts w:hint="eastAsia" w:ascii="宋体" w:hAnsi="宋体" w:eastAsia="宋体" w:cs="宋体"/>
          <w:sz w:val="24"/>
          <w:szCs w:val="24"/>
          <w:lang w:eastAsia="zh-CN"/>
        </w:rPr>
        <w:t>。</w:t>
      </w:r>
    </w:p>
    <w:p w14:paraId="31E9E19A">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sz w:val="24"/>
          <w:szCs w:val="24"/>
        </w:rPr>
      </w:pPr>
      <w:r>
        <w:rPr>
          <w:rFonts w:hint="eastAsia" w:ascii="宋体" w:hAnsi="宋体" w:eastAsia="宋体" w:cs="宋体"/>
          <w:b/>
          <w:bCs/>
          <w:sz w:val="24"/>
          <w:szCs w:val="24"/>
        </w:rPr>
        <w:t>第十二条：</w:t>
      </w:r>
      <w:r>
        <w:rPr>
          <w:rFonts w:hint="eastAsia" w:ascii="宋体" w:hAnsi="宋体" w:eastAsia="宋体" w:cs="宋体"/>
          <w:sz w:val="24"/>
          <w:szCs w:val="24"/>
        </w:rPr>
        <w:t>在合同执行过程中，甲乙双方如有争议或者对合同未尽事宜，可共同商定补充条款。</w:t>
      </w:r>
    </w:p>
    <w:p w14:paraId="4CCCFE45">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第十三条：争议解决方式</w:t>
      </w:r>
    </w:p>
    <w:p w14:paraId="6A95CA8C">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 xml:space="preserve">13.1 </w:t>
      </w:r>
      <w:r>
        <w:rPr>
          <w:rFonts w:hint="eastAsia" w:ascii="宋体" w:hAnsi="宋体" w:eastAsia="宋体" w:cs="宋体"/>
          <w:sz w:val="24"/>
          <w:szCs w:val="24"/>
        </w:rPr>
        <w:t>双方因履行本合同而发生的争议，应协商解决。</w:t>
      </w:r>
    </w:p>
    <w:p w14:paraId="3F5B1189">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13.2 协商解决不成的，签约方同意采取以下第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种方式处理：</w:t>
      </w:r>
    </w:p>
    <w:p w14:paraId="5157EB8F">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 提交</w:t>
      </w:r>
      <w:r>
        <w:rPr>
          <w:rFonts w:hint="eastAsia" w:ascii="宋体" w:hAnsi="宋体" w:eastAsia="宋体" w:cs="宋体"/>
          <w:sz w:val="24"/>
          <w:szCs w:val="24"/>
          <w:lang w:val="en-US" w:eastAsia="zh-CN"/>
        </w:rPr>
        <w:t>项目所在地</w:t>
      </w:r>
      <w:r>
        <w:rPr>
          <w:rFonts w:hint="eastAsia" w:ascii="宋体" w:hAnsi="宋体" w:eastAsia="宋体" w:cs="宋体"/>
          <w:sz w:val="24"/>
          <w:szCs w:val="24"/>
        </w:rPr>
        <w:t>仲裁委员会仲裁；</w:t>
      </w:r>
    </w:p>
    <w:p w14:paraId="2AED14D6">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 依法向</w:t>
      </w:r>
      <w:r>
        <w:rPr>
          <w:rFonts w:hint="eastAsia" w:ascii="宋体" w:hAnsi="宋体" w:eastAsia="宋体" w:cs="宋体"/>
          <w:sz w:val="24"/>
          <w:szCs w:val="24"/>
          <w:lang w:val="en-US" w:eastAsia="zh-CN"/>
        </w:rPr>
        <w:t>项目</w:t>
      </w:r>
      <w:r>
        <w:rPr>
          <w:rFonts w:hint="eastAsia" w:ascii="宋体" w:hAnsi="宋体" w:eastAsia="宋体" w:cs="宋体"/>
          <w:sz w:val="24"/>
          <w:szCs w:val="24"/>
        </w:rPr>
        <w:t>所在地的人民法院起诉。</w:t>
      </w:r>
    </w:p>
    <w:p w14:paraId="54408E29">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第十四条：补充约定</w:t>
      </w:r>
    </w:p>
    <w:p w14:paraId="60EF0C7E">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本合同如有未尽事宜，甲、乙双方可另行协商签订补充协议。补充协议为本合同附件，与本合同具有同等法律效力。</w:t>
      </w:r>
    </w:p>
    <w:p w14:paraId="579C05F4">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第十五条：合同生效</w:t>
      </w:r>
    </w:p>
    <w:p w14:paraId="77AAABAB">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z w:val="24"/>
          <w:szCs w:val="24"/>
          <w:lang w:val="en-US" w:eastAsia="zh-CN"/>
        </w:rPr>
        <w:t>甲乙</w:t>
      </w:r>
      <w:r>
        <w:rPr>
          <w:rFonts w:hint="eastAsia" w:ascii="宋体" w:hAnsi="宋体" w:eastAsia="宋体" w:cs="宋体"/>
          <w:sz w:val="24"/>
          <w:szCs w:val="24"/>
        </w:rPr>
        <w:t>双方各执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pacing w:val="-4"/>
          <w:sz w:val="24"/>
          <w:szCs w:val="24"/>
        </w:rPr>
        <w:t>采购代理机构</w:t>
      </w:r>
      <w:r>
        <w:rPr>
          <w:rFonts w:hint="eastAsia" w:ascii="宋体" w:hAnsi="宋体" w:eastAsia="宋体" w:cs="宋体"/>
          <w:spacing w:val="-4"/>
          <w:sz w:val="24"/>
          <w:szCs w:val="24"/>
          <w:u w:val="single" w:color="auto"/>
        </w:rPr>
        <w:t xml:space="preserve"> 壹 </w:t>
      </w:r>
      <w:r>
        <w:rPr>
          <w:rFonts w:hint="eastAsia" w:ascii="宋体" w:hAnsi="宋体" w:eastAsia="宋体" w:cs="宋体"/>
          <w:spacing w:val="-4"/>
          <w:sz w:val="24"/>
          <w:szCs w:val="24"/>
        </w:rPr>
        <w:t>份</w:t>
      </w:r>
      <w:r>
        <w:rPr>
          <w:rFonts w:hint="eastAsia" w:ascii="宋体" w:hAnsi="宋体" w:eastAsia="宋体" w:cs="宋体"/>
          <w:spacing w:val="-2"/>
          <w:sz w:val="24"/>
          <w:szCs w:val="24"/>
        </w:rPr>
        <w:t>。</w:t>
      </w:r>
      <w:r>
        <w:rPr>
          <w:rFonts w:hint="eastAsia" w:ascii="宋体" w:hAnsi="宋体" w:eastAsia="宋体" w:cs="宋体"/>
          <w:sz w:val="24"/>
          <w:szCs w:val="24"/>
        </w:rPr>
        <w:t>经</w:t>
      </w:r>
      <w:r>
        <w:rPr>
          <w:rFonts w:hint="eastAsia" w:ascii="宋体" w:hAnsi="宋体" w:eastAsia="宋体" w:cs="宋体"/>
          <w:sz w:val="24"/>
          <w:szCs w:val="24"/>
          <w:lang w:val="en-US" w:eastAsia="zh-CN"/>
        </w:rPr>
        <w:t>甲乙</w:t>
      </w:r>
      <w:r>
        <w:rPr>
          <w:rFonts w:hint="eastAsia" w:ascii="宋体" w:hAnsi="宋体" w:eastAsia="宋体" w:cs="宋体"/>
          <w:sz w:val="24"/>
          <w:szCs w:val="24"/>
        </w:rPr>
        <w:t>双方代表签字并加盖单位公章后生效，具有同等法律效力。</w:t>
      </w:r>
    </w:p>
    <w:p w14:paraId="53333B3C">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宋体" w:hAnsi="宋体" w:eastAsia="宋体" w:cs="宋体"/>
          <w:sz w:val="24"/>
          <w:szCs w:val="24"/>
        </w:rPr>
      </w:pPr>
      <w:r>
        <w:rPr>
          <w:rFonts w:hint="eastAsia" w:ascii="宋体" w:hAnsi="宋体" w:eastAsia="宋体" w:cs="宋体"/>
          <w:b/>
          <w:bCs/>
          <w:sz w:val="24"/>
          <w:szCs w:val="24"/>
        </w:rPr>
        <w:t>第十六条：</w:t>
      </w:r>
      <w:r>
        <w:rPr>
          <w:rFonts w:hint="eastAsia" w:ascii="宋体" w:hAnsi="宋体" w:eastAsia="宋体" w:cs="宋体"/>
          <w:sz w:val="24"/>
          <w:szCs w:val="24"/>
        </w:rPr>
        <w:t>本合同从合同内容完成之日起，自行终止。</w:t>
      </w:r>
    </w:p>
    <w:p w14:paraId="0486352A">
      <w:pPr>
        <w:pStyle w:val="2"/>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4"/>
          <w:szCs w:val="24"/>
        </w:rPr>
      </w:pPr>
    </w:p>
    <w:p w14:paraId="4AE5DB97">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4"/>
          <w:szCs w:val="24"/>
        </w:rPr>
      </w:pPr>
    </w:p>
    <w:p w14:paraId="121E7587">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委托方(甲方)：</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(盖章)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委托方(甲方)：</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(盖章)</w:t>
      </w:r>
    </w:p>
    <w:p w14:paraId="1EC08A0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4"/>
          <w:szCs w:val="24"/>
        </w:rPr>
      </w:pPr>
    </w:p>
    <w:p w14:paraId="2F59439A">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法定代表人(签字或盖章)：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法定代表人(签字或盖章)</w:t>
      </w:r>
      <w:r>
        <w:rPr>
          <w:rFonts w:hint="eastAsia" w:ascii="宋体" w:hAnsi="宋体" w:eastAsia="宋体" w:cs="宋体"/>
          <w:sz w:val="24"/>
          <w:szCs w:val="24"/>
          <w:lang w:eastAsia="zh-CN"/>
        </w:rPr>
        <w:t>：</w:t>
      </w:r>
    </w:p>
    <w:p w14:paraId="3290CF99">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4"/>
          <w:szCs w:val="24"/>
        </w:rPr>
      </w:pPr>
    </w:p>
    <w:p w14:paraId="3C20C0E3">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default" w:ascii="宋体" w:hAnsi="宋体" w:eastAsia="宋体" w:cs="宋体"/>
          <w:sz w:val="24"/>
          <w:szCs w:val="24"/>
          <w:lang w:val="en-US" w:eastAsia="zh-CN"/>
        </w:rPr>
      </w:pPr>
      <w:r>
        <w:rPr>
          <w:rFonts w:hint="eastAsia" w:ascii="宋体" w:hAnsi="宋体" w:eastAsia="宋体" w:cs="宋体"/>
          <w:sz w:val="24"/>
          <w:szCs w:val="24"/>
        </w:rPr>
        <w:t>被授权代表(签字)：</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被授权代表(签字)：</w:t>
      </w:r>
    </w:p>
    <w:p w14:paraId="23FA99F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4"/>
          <w:szCs w:val="24"/>
        </w:rPr>
      </w:pPr>
    </w:p>
    <w:p w14:paraId="471BA64F">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联系电话：                            联系电话：                            </w:t>
      </w:r>
    </w:p>
    <w:p w14:paraId="2B895E07">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开户银行：</w:t>
      </w:r>
    </w:p>
    <w:p w14:paraId="62AEB42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银行账号：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银行账号：</w:t>
      </w:r>
      <w:r>
        <w:rPr>
          <w:rFonts w:hint="eastAsia" w:ascii="宋体" w:hAnsi="宋体" w:eastAsia="宋体" w:cs="宋体"/>
          <w:sz w:val="24"/>
          <w:szCs w:val="24"/>
          <w:lang w:val="en-US" w:eastAsia="zh-CN"/>
        </w:rPr>
        <w:t xml:space="preserve"> </w:t>
      </w:r>
    </w:p>
    <w:p w14:paraId="2749AE64">
      <w:pPr>
        <w:spacing w:line="400" w:lineRule="exact"/>
        <w:rPr>
          <w:rFonts w:hint="eastAsia" w:asciiTheme="minorEastAsia" w:hAnsiTheme="minorEastAsia" w:eastAsiaTheme="minorEastAsia"/>
          <w:b/>
          <w:color w:val="000000"/>
          <w:szCs w:val="21"/>
        </w:rPr>
      </w:pPr>
      <w:bookmarkStart w:id="0" w:name="_bookmark6"/>
      <w:bookmarkEnd w:id="0"/>
      <w:r>
        <w:rPr>
          <w:rFonts w:hint="eastAsia" w:ascii="宋体" w:hAnsi="宋体" w:eastAsia="宋体" w:cs="宋体"/>
          <w:sz w:val="24"/>
          <w:szCs w:val="24"/>
        </w:rPr>
        <w:t>日期：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日期：</w:t>
      </w:r>
    </w:p>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17BB8">
    <w:pPr>
      <w:pStyle w:val="5"/>
      <w:framePr w:wrap="around" w:vAnchor="text" w:hAnchor="margin" w:xAlign="center" w:y="1"/>
      <w:rPr>
        <w:rStyle w:val="10"/>
      </w:rPr>
    </w:pPr>
  </w:p>
  <w:p w14:paraId="5644249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6A49B">
    <w:pPr>
      <w:pStyle w:val="5"/>
      <w:framePr w:wrap="around" w:vAnchor="text" w:hAnchor="margin" w:xAlign="center" w:y="1"/>
      <w:rPr>
        <w:rStyle w:val="10"/>
      </w:rPr>
    </w:pPr>
    <w:r>
      <w:fldChar w:fldCharType="begin"/>
    </w:r>
    <w:r>
      <w:rPr>
        <w:rStyle w:val="10"/>
      </w:rPr>
      <w:instrText xml:space="preserve">PAGE  </w:instrText>
    </w:r>
    <w:r>
      <w:fldChar w:fldCharType="end"/>
    </w:r>
  </w:p>
  <w:p w14:paraId="73A58AC6">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AB544">
    <w:pPr>
      <w:pStyle w:val="5"/>
      <w:framePr w:wrap="around" w:vAnchor="text" w:hAnchor="margin" w:xAlign="center" w:y="1"/>
      <w:rPr>
        <w:rStyle w:val="10"/>
      </w:rPr>
    </w:pPr>
  </w:p>
  <w:p w14:paraId="48D8C626">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60"/>
  <w:drawingGridVerticalSpacing w:val="24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19B"/>
    <w:rsid w:val="00011D5E"/>
    <w:rsid w:val="00016110"/>
    <w:rsid w:val="00031D92"/>
    <w:rsid w:val="000330C2"/>
    <w:rsid w:val="00034242"/>
    <w:rsid w:val="0004021A"/>
    <w:rsid w:val="000711EB"/>
    <w:rsid w:val="00082B02"/>
    <w:rsid w:val="00093E28"/>
    <w:rsid w:val="000957F2"/>
    <w:rsid w:val="0009763E"/>
    <w:rsid w:val="000A1C52"/>
    <w:rsid w:val="000A1EE0"/>
    <w:rsid w:val="00121692"/>
    <w:rsid w:val="0012584A"/>
    <w:rsid w:val="0013617D"/>
    <w:rsid w:val="00182906"/>
    <w:rsid w:val="00197A1C"/>
    <w:rsid w:val="001C3CCC"/>
    <w:rsid w:val="0020119B"/>
    <w:rsid w:val="0020732C"/>
    <w:rsid w:val="00210895"/>
    <w:rsid w:val="002311D9"/>
    <w:rsid w:val="00237968"/>
    <w:rsid w:val="00237E95"/>
    <w:rsid w:val="00250ADC"/>
    <w:rsid w:val="00254B49"/>
    <w:rsid w:val="00257E03"/>
    <w:rsid w:val="002802FD"/>
    <w:rsid w:val="00291F43"/>
    <w:rsid w:val="002B1FB9"/>
    <w:rsid w:val="002C100C"/>
    <w:rsid w:val="002E70F9"/>
    <w:rsid w:val="00304E25"/>
    <w:rsid w:val="003154C6"/>
    <w:rsid w:val="00321FFA"/>
    <w:rsid w:val="00322DB5"/>
    <w:rsid w:val="0032608A"/>
    <w:rsid w:val="00327FD7"/>
    <w:rsid w:val="003339F8"/>
    <w:rsid w:val="00343142"/>
    <w:rsid w:val="003508B4"/>
    <w:rsid w:val="00351027"/>
    <w:rsid w:val="003531D4"/>
    <w:rsid w:val="003702FE"/>
    <w:rsid w:val="003814C9"/>
    <w:rsid w:val="0039062C"/>
    <w:rsid w:val="003D0807"/>
    <w:rsid w:val="003E0414"/>
    <w:rsid w:val="00403194"/>
    <w:rsid w:val="0045259E"/>
    <w:rsid w:val="004A24A5"/>
    <w:rsid w:val="004A6103"/>
    <w:rsid w:val="004A6880"/>
    <w:rsid w:val="004B72C8"/>
    <w:rsid w:val="004C7DBB"/>
    <w:rsid w:val="004D0D27"/>
    <w:rsid w:val="004E37A6"/>
    <w:rsid w:val="00503755"/>
    <w:rsid w:val="005059DF"/>
    <w:rsid w:val="005463C1"/>
    <w:rsid w:val="00546883"/>
    <w:rsid w:val="00583C21"/>
    <w:rsid w:val="00592203"/>
    <w:rsid w:val="00593673"/>
    <w:rsid w:val="005962DB"/>
    <w:rsid w:val="0059715E"/>
    <w:rsid w:val="005A56EC"/>
    <w:rsid w:val="005B62FF"/>
    <w:rsid w:val="005D075A"/>
    <w:rsid w:val="005E60E2"/>
    <w:rsid w:val="005F71CD"/>
    <w:rsid w:val="006300FD"/>
    <w:rsid w:val="00637400"/>
    <w:rsid w:val="00645C0F"/>
    <w:rsid w:val="00646C12"/>
    <w:rsid w:val="006501B6"/>
    <w:rsid w:val="00670865"/>
    <w:rsid w:val="00680220"/>
    <w:rsid w:val="006841F3"/>
    <w:rsid w:val="006A23A1"/>
    <w:rsid w:val="006A6731"/>
    <w:rsid w:val="006B660E"/>
    <w:rsid w:val="006E2AA8"/>
    <w:rsid w:val="006E4D8B"/>
    <w:rsid w:val="00710325"/>
    <w:rsid w:val="00710F15"/>
    <w:rsid w:val="00712769"/>
    <w:rsid w:val="00715041"/>
    <w:rsid w:val="007320DC"/>
    <w:rsid w:val="00750B14"/>
    <w:rsid w:val="007558E2"/>
    <w:rsid w:val="00771FE6"/>
    <w:rsid w:val="007728CA"/>
    <w:rsid w:val="00793BA7"/>
    <w:rsid w:val="00796023"/>
    <w:rsid w:val="007A0FEF"/>
    <w:rsid w:val="007A3CD2"/>
    <w:rsid w:val="007A5BA5"/>
    <w:rsid w:val="007A645A"/>
    <w:rsid w:val="007D4054"/>
    <w:rsid w:val="007D638F"/>
    <w:rsid w:val="007F3E62"/>
    <w:rsid w:val="00832DCE"/>
    <w:rsid w:val="00832DE3"/>
    <w:rsid w:val="008771DC"/>
    <w:rsid w:val="00881224"/>
    <w:rsid w:val="008A052C"/>
    <w:rsid w:val="008D7A3D"/>
    <w:rsid w:val="009103E7"/>
    <w:rsid w:val="00916204"/>
    <w:rsid w:val="00921AD0"/>
    <w:rsid w:val="00956C0B"/>
    <w:rsid w:val="00972A0D"/>
    <w:rsid w:val="009736F3"/>
    <w:rsid w:val="00975479"/>
    <w:rsid w:val="009A1AF7"/>
    <w:rsid w:val="009A1F6B"/>
    <w:rsid w:val="009A49FC"/>
    <w:rsid w:val="009C61B9"/>
    <w:rsid w:val="009F180B"/>
    <w:rsid w:val="00A3014F"/>
    <w:rsid w:val="00A51D06"/>
    <w:rsid w:val="00A558B4"/>
    <w:rsid w:val="00A60443"/>
    <w:rsid w:val="00A71763"/>
    <w:rsid w:val="00A72CD1"/>
    <w:rsid w:val="00A97792"/>
    <w:rsid w:val="00AA340C"/>
    <w:rsid w:val="00AA6FB8"/>
    <w:rsid w:val="00AB1873"/>
    <w:rsid w:val="00AD08EE"/>
    <w:rsid w:val="00AD3402"/>
    <w:rsid w:val="00AE162F"/>
    <w:rsid w:val="00B407A5"/>
    <w:rsid w:val="00B428AF"/>
    <w:rsid w:val="00B44CCE"/>
    <w:rsid w:val="00B57ED1"/>
    <w:rsid w:val="00B67811"/>
    <w:rsid w:val="00B71C50"/>
    <w:rsid w:val="00B71DD8"/>
    <w:rsid w:val="00B72D99"/>
    <w:rsid w:val="00BF72C3"/>
    <w:rsid w:val="00C02843"/>
    <w:rsid w:val="00C12A66"/>
    <w:rsid w:val="00C156E5"/>
    <w:rsid w:val="00C46760"/>
    <w:rsid w:val="00C62391"/>
    <w:rsid w:val="00C95379"/>
    <w:rsid w:val="00C975D7"/>
    <w:rsid w:val="00CF072B"/>
    <w:rsid w:val="00D027BB"/>
    <w:rsid w:val="00D0501F"/>
    <w:rsid w:val="00D21919"/>
    <w:rsid w:val="00D341BE"/>
    <w:rsid w:val="00D36C54"/>
    <w:rsid w:val="00D4316B"/>
    <w:rsid w:val="00D541AC"/>
    <w:rsid w:val="00D5512E"/>
    <w:rsid w:val="00D77B6D"/>
    <w:rsid w:val="00D825B7"/>
    <w:rsid w:val="00DA1A61"/>
    <w:rsid w:val="00DB364D"/>
    <w:rsid w:val="00DC45CD"/>
    <w:rsid w:val="00DC4B9C"/>
    <w:rsid w:val="00DC4D62"/>
    <w:rsid w:val="00DE2284"/>
    <w:rsid w:val="00DE2537"/>
    <w:rsid w:val="00DE3387"/>
    <w:rsid w:val="00DF7A5E"/>
    <w:rsid w:val="00E33352"/>
    <w:rsid w:val="00E333A8"/>
    <w:rsid w:val="00E373AD"/>
    <w:rsid w:val="00E400B1"/>
    <w:rsid w:val="00E43E13"/>
    <w:rsid w:val="00E743E8"/>
    <w:rsid w:val="00E94CB3"/>
    <w:rsid w:val="00E95F47"/>
    <w:rsid w:val="00EC37B1"/>
    <w:rsid w:val="00ED012B"/>
    <w:rsid w:val="00ED54A5"/>
    <w:rsid w:val="00F01C63"/>
    <w:rsid w:val="00F100C0"/>
    <w:rsid w:val="00F11241"/>
    <w:rsid w:val="00F1235B"/>
    <w:rsid w:val="00F434CD"/>
    <w:rsid w:val="00F53AAE"/>
    <w:rsid w:val="00F60E36"/>
    <w:rsid w:val="00F702C2"/>
    <w:rsid w:val="00F9047A"/>
    <w:rsid w:val="00F95AE4"/>
    <w:rsid w:val="00FA303C"/>
    <w:rsid w:val="00FD7C26"/>
    <w:rsid w:val="00FE229F"/>
    <w:rsid w:val="05503604"/>
    <w:rsid w:val="257D7A02"/>
    <w:rsid w:val="27C63C8F"/>
    <w:rsid w:val="29920E28"/>
    <w:rsid w:val="3EC84ED2"/>
    <w:rsid w:val="4EFDF940"/>
    <w:rsid w:val="52B235F9"/>
    <w:rsid w:val="5F6BC47D"/>
    <w:rsid w:val="65C7216E"/>
    <w:rsid w:val="776FE8DA"/>
    <w:rsid w:val="7C70530B"/>
    <w:rsid w:val="9FFF1014"/>
    <w:rsid w:val="BCF9D8BE"/>
    <w:rsid w:val="CEB53935"/>
    <w:rsid w:val="DEF5A8C0"/>
    <w:rsid w:val="EEEBD064"/>
    <w:rsid w:val="EFBBD336"/>
    <w:rsid w:val="F77FF2BD"/>
    <w:rsid w:val="FEFD9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sz w:val="24"/>
    </w:rPr>
  </w:style>
  <w:style w:type="paragraph" w:styleId="3">
    <w:name w:val="annotation text"/>
    <w:basedOn w:val="1"/>
    <w:link w:val="12"/>
    <w:qFormat/>
    <w:uiPriority w:val="99"/>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3"/>
    <w:qFormat/>
    <w:uiPriority w:val="0"/>
    <w:rPr>
      <w:b/>
      <w:bCs/>
    </w:rPr>
  </w:style>
  <w:style w:type="character" w:styleId="10">
    <w:name w:val="page number"/>
    <w:qFormat/>
    <w:uiPriority w:val="0"/>
  </w:style>
  <w:style w:type="character" w:styleId="11">
    <w:name w:val="annotation reference"/>
    <w:qFormat/>
    <w:uiPriority w:val="0"/>
    <w:rPr>
      <w:sz w:val="21"/>
      <w:szCs w:val="21"/>
    </w:rPr>
  </w:style>
  <w:style w:type="character" w:customStyle="1" w:styleId="12">
    <w:name w:val="批注文字 字符"/>
    <w:link w:val="3"/>
    <w:qFormat/>
    <w:uiPriority w:val="99"/>
    <w:rPr>
      <w:kern w:val="2"/>
      <w:sz w:val="21"/>
      <w:szCs w:val="24"/>
    </w:rPr>
  </w:style>
  <w:style w:type="character" w:customStyle="1" w:styleId="13">
    <w:name w:val="批注主题 字符"/>
    <w:link w:val="7"/>
    <w:qFormat/>
    <w:uiPriority w:val="0"/>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2034</Words>
  <Characters>2103</Characters>
  <Lines>24</Lines>
  <Paragraphs>114</Paragraphs>
  <TotalTime>0</TotalTime>
  <ScaleCrop>false</ScaleCrop>
  <LinksUpToDate>false</LinksUpToDate>
  <CharactersWithSpaces>2852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2024-08-13T08:50:00Z</dcterms:created>
  <dc:creator>dellpc</dc:creator>
  <cp:lastModifiedBy>怯</cp:lastModifiedBy>
  <cp:lastPrinted>2025-05-14T01:22:00Z</cp:lastPrinted>
  <dcterms:modified xsi:type="dcterms:W3CDTF">2026-04-08T03:51:42Z</dcterms:modified>
  <dc:title>йҵѧУ</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E0EC1859F2F75FE056D2CF624E9DAFC2</vt:lpwstr>
  </property>
  <property fmtid="{D5CDD505-2E9C-101B-9397-08002B2CF9AE}" pid="4" name="KSOTemplateDocerSaveRecord">
    <vt:lpwstr>eyJoZGlkIjoiYzg3ZTY0NTE4Yjg3Njk5ZTIyZDVhOTdmY2UxYWQ2NzkiLCJ1c2VySWQiOiIyOTQ2NTA5ODcifQ==</vt:lpwstr>
  </property>
</Properties>
</file>