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版本号：YMD-2026010XM20260421002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延凤路路灯改造项目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YMD-2026010XM</w:t>
      </w:r>
      <w:r>
        <w:br/>
      </w:r>
      <w:r>
        <w:br/>
      </w:r>
      <w:r>
        <w:br/>
      </w:r>
    </w:p>
    <w:p>
      <w:pPr>
        <w:pStyle w:val="null3"/>
        <w:jc w:val="center"/>
        <w:outlineLvl w:val="2"/>
      </w:pPr>
      <w:r>
        <w:rPr>
          <w:rFonts w:ascii="仿宋_GB2312" w:hAnsi="仿宋_GB2312" w:cs="仿宋_GB2312" w:eastAsia="仿宋_GB2312"/>
          <w:sz w:val="28"/>
          <w:b/>
        </w:rPr>
        <w:t>西安市阎良区住房和城乡建设局</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西安市阎良区住房和城乡建设局</w:t>
      </w:r>
      <w:r>
        <w:rPr>
          <w:rFonts w:ascii="仿宋_GB2312" w:hAnsi="仿宋_GB2312" w:cs="仿宋_GB2312" w:eastAsia="仿宋_GB2312"/>
        </w:rPr>
        <w:t>委托，拟对</w:t>
      </w:r>
      <w:r>
        <w:rPr>
          <w:rFonts w:ascii="仿宋_GB2312" w:hAnsi="仿宋_GB2312" w:cs="仿宋_GB2312" w:eastAsia="仿宋_GB2312"/>
        </w:rPr>
        <w:t>延凤路路灯改造项目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YMD-2026010XM</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延凤路路灯改造项目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延凤路（铁砖西路-延安街）改造单臂路灯（H=8m，L=1.5m）54套，拆除现状路灯56根，拆换两侧辅道照明管线2280m，具体详见图纸及工程量清单。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采购包1（延凤路路灯改造项目）：属于专门面向中小企业采购。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报告：提供经审计的2024年度或2025年度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pPr>
        <w:pStyle w:val="null3"/>
      </w:pPr>
      <w:r>
        <w:rPr>
          <w:rFonts w:ascii="仿宋_GB2312" w:hAnsi="仿宋_GB2312" w:cs="仿宋_GB2312" w:eastAsia="仿宋_GB2312"/>
        </w:rPr>
        <w:t>4、社会保障资金缴纳证明：提供投标截止时间前12个月内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9、供应商资质：供应商须具备建设行政主管部门颁发的市政公用工程施工总承包三级及以上资质或城市及道路照明工程专业承包三级及以上资质,同时具有合格有效的安全生产许可证。</w:t>
      </w:r>
    </w:p>
    <w:p>
      <w:pPr>
        <w:pStyle w:val="null3"/>
      </w:pPr>
      <w:r>
        <w:rPr>
          <w:rFonts w:ascii="仿宋_GB2312" w:hAnsi="仿宋_GB2312" w:cs="仿宋_GB2312" w:eastAsia="仿宋_GB2312"/>
        </w:rPr>
        <w:t>10、拟派项目负责人资质及专业要求：证书等级：二级及以上注册建造师资格 专业：市政公用工程专业或机电工程专业 补充说明：拟派项目经理须具备市政公用工程（或机电工程）专业二级或以上注册建造师资质并具有有效的安全生产考核合格证，在本单位注册且无在建工程、无不良记录（提供无在建工程、无不良记录承诺书）。</w:t>
      </w:r>
    </w:p>
    <w:p>
      <w:pPr>
        <w:pStyle w:val="null3"/>
      </w:pPr>
      <w:r>
        <w:rPr>
          <w:rFonts w:ascii="仿宋_GB2312" w:hAnsi="仿宋_GB2312" w:cs="仿宋_GB2312" w:eastAsia="仿宋_GB2312"/>
        </w:rPr>
        <w:t>11、专门面向中小企业：供应商应为中小微企业或监狱企业或残疾人福利性单位（供应商须提供相关声明函）。</w:t>
      </w:r>
    </w:p>
    <w:p>
      <w:pPr>
        <w:pStyle w:val="null3"/>
      </w:pPr>
      <w:r>
        <w:rPr>
          <w:rFonts w:ascii="仿宋_GB2312" w:hAnsi="仿宋_GB2312" w:cs="仿宋_GB2312" w:eastAsia="仿宋_GB2312"/>
        </w:rPr>
        <w:t>12、非联合体声明：本次项目不接受联合体。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西安市阎良区前进西路103号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靳振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029-86200474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刘媛媛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采购包1：1,463,107.04元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代理服务费收费标准：招标代理服务费按国家计划委员会文件《招标代理服务收费管理暂行办法》（计价格[2002]1980号）规定的标准下浮20%计取。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西安市阎良区住房和城乡建设局</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地址：西安市雁塔区曲江街道旺座曲江M座25层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1,463,107.04</w:t>
      </w:r>
    </w:p>
    <w:p>
      <w:pPr>
        <w:pStyle w:val="null3"/>
      </w:pPr>
      <w:r>
        <w:rPr>
          <w:rFonts w:ascii="仿宋_GB2312" w:hAnsi="仿宋_GB2312" w:cs="仿宋_GB2312" w:eastAsia="仿宋_GB2312"/>
        </w:rPr>
        <w:t>采购包最高限价（元）: 1,463,107.04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延凤路路灯改造项目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1,463,107.04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标的名称：延凤路路灯改造项目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shd w:fill="FDFEFE" w:val="clear"/>
              </w:rPr>
              <w:t>采购需求（工程类）</w:t>
            </w:r>
          </w:p>
          <w:p>
            <w:pPr>
              <w:pStyle w:val="null3"/>
              <w:spacing w:before="240"/>
              <w:ind w:left="420"/>
              <w:jc w:val="both"/>
            </w:pPr>
            <w:r>
              <w:rPr>
                <w:rFonts w:ascii="仿宋_GB2312" w:hAnsi="仿宋_GB2312" w:cs="仿宋_GB2312" w:eastAsia="仿宋_GB2312"/>
                <w:sz w:val="28"/>
                <w:b/>
                <w:shd w:fill="FDFEFE" w:val="clear"/>
              </w:rPr>
              <w:t>一、项目概况</w:t>
            </w:r>
          </w:p>
          <w:p>
            <w:pPr>
              <w:pStyle w:val="null3"/>
              <w:ind w:firstLine="480"/>
              <w:jc w:val="both"/>
            </w:pPr>
            <w:r>
              <w:rPr>
                <w:rFonts w:ascii="仿宋_GB2312" w:hAnsi="仿宋_GB2312" w:cs="仿宋_GB2312" w:eastAsia="仿宋_GB2312"/>
                <w:sz w:val="28"/>
                <w:shd w:fill="FDFEFE" w:val="clear"/>
              </w:rPr>
              <w:t>延凤路（铁砖西路-延安街）改造单臂路灯（H=8m，L=1.5m）54套，拆除现状路灯56根，拆换两侧辅道照明管线2280m。</w:t>
            </w:r>
          </w:p>
          <w:p>
            <w:pPr>
              <w:pStyle w:val="null3"/>
              <w:spacing w:before="240"/>
              <w:ind w:left="420"/>
              <w:jc w:val="both"/>
            </w:pPr>
            <w:r>
              <w:rPr>
                <w:rFonts w:ascii="仿宋_GB2312" w:hAnsi="仿宋_GB2312" w:cs="仿宋_GB2312" w:eastAsia="仿宋_GB2312"/>
                <w:sz w:val="28"/>
                <w:b/>
                <w:shd w:fill="FDFEFE" w:val="clear"/>
              </w:rPr>
              <w:t>二、工程内容和施工地点、计划工期、缺陷责任期、质量保修期</w:t>
            </w:r>
          </w:p>
          <w:p>
            <w:pPr>
              <w:pStyle w:val="null3"/>
              <w:ind w:firstLine="480"/>
              <w:jc w:val="both"/>
            </w:pPr>
            <w:r>
              <w:rPr>
                <w:rFonts w:ascii="仿宋_GB2312" w:hAnsi="仿宋_GB2312" w:cs="仿宋_GB2312" w:eastAsia="仿宋_GB2312"/>
                <w:sz w:val="28"/>
                <w:shd w:fill="FDFEFE" w:val="clear"/>
              </w:rPr>
              <w:t>（一）工程内容：工程量清单及图纸的全部内容。</w:t>
            </w:r>
          </w:p>
          <w:p>
            <w:pPr>
              <w:pStyle w:val="null3"/>
              <w:ind w:firstLine="480"/>
              <w:jc w:val="both"/>
            </w:pPr>
            <w:r>
              <w:rPr>
                <w:rFonts w:ascii="仿宋_GB2312" w:hAnsi="仿宋_GB2312" w:cs="仿宋_GB2312" w:eastAsia="仿宋_GB2312"/>
                <w:sz w:val="28"/>
                <w:shd w:fill="FDFEFE" w:val="clear"/>
              </w:rPr>
              <w:t>（二）工程地点：西安市阎良区延凤路（铁砖西路-延安街）</w:t>
            </w:r>
          </w:p>
          <w:p>
            <w:pPr>
              <w:pStyle w:val="null3"/>
              <w:ind w:firstLine="480"/>
              <w:jc w:val="both"/>
            </w:pPr>
            <w:r>
              <w:rPr>
                <w:rFonts w:ascii="仿宋_GB2312" w:hAnsi="仿宋_GB2312" w:cs="仿宋_GB2312" w:eastAsia="仿宋_GB2312"/>
                <w:sz w:val="28"/>
                <w:shd w:fill="FDFEFE" w:val="clear"/>
              </w:rPr>
              <w:t>（三）计划工期：自合同签订之日起60日历天</w:t>
            </w:r>
          </w:p>
          <w:p>
            <w:pPr>
              <w:pStyle w:val="null3"/>
              <w:ind w:firstLine="480"/>
              <w:jc w:val="both"/>
            </w:pPr>
            <w:r>
              <w:rPr>
                <w:rFonts w:ascii="仿宋_GB2312" w:hAnsi="仿宋_GB2312" w:cs="仿宋_GB2312" w:eastAsia="仿宋_GB2312"/>
                <w:sz w:val="28"/>
                <w:shd w:fill="FDFEFE" w:val="clear"/>
              </w:rPr>
              <w:t>（四）缺陷责任期:二年</w:t>
            </w:r>
          </w:p>
          <w:p>
            <w:pPr>
              <w:pStyle w:val="null3"/>
              <w:ind w:firstLine="480"/>
              <w:jc w:val="both"/>
            </w:pPr>
            <w:r>
              <w:rPr>
                <w:rFonts w:ascii="仿宋_GB2312" w:hAnsi="仿宋_GB2312" w:cs="仿宋_GB2312" w:eastAsia="仿宋_GB2312"/>
                <w:sz w:val="28"/>
                <w:shd w:fill="FDFEFE" w:val="clear"/>
              </w:rPr>
              <w:t>（五）质量保修期：见《建设工程质量管理条例》。</w:t>
            </w:r>
          </w:p>
          <w:p>
            <w:pPr>
              <w:pStyle w:val="null3"/>
              <w:spacing w:before="240"/>
              <w:ind w:left="420"/>
              <w:jc w:val="both"/>
            </w:pPr>
            <w:r>
              <w:rPr>
                <w:rFonts w:ascii="仿宋_GB2312" w:hAnsi="仿宋_GB2312" w:cs="仿宋_GB2312" w:eastAsia="仿宋_GB2312"/>
                <w:sz w:val="28"/>
                <w:b/>
                <w:shd w:fill="FDFEFE" w:val="clear"/>
              </w:rPr>
              <w:t>三、工程量清单和计价依据</w:t>
            </w:r>
          </w:p>
          <w:p>
            <w:pPr>
              <w:pStyle w:val="null3"/>
              <w:ind w:firstLine="482"/>
              <w:jc w:val="both"/>
            </w:pPr>
            <w:r>
              <w:rPr>
                <w:rFonts w:ascii="仿宋_GB2312" w:hAnsi="仿宋_GB2312" w:cs="仿宋_GB2312" w:eastAsia="仿宋_GB2312"/>
                <w:sz w:val="28"/>
                <w:b/>
                <w:shd w:fill="FDFEFE" w:val="clear"/>
              </w:rPr>
              <w:t>（一）计价依据</w:t>
            </w:r>
            <w:r>
              <w:rPr>
                <w:rFonts w:ascii="仿宋_GB2312" w:hAnsi="仿宋_GB2312" w:cs="仿宋_GB2312" w:eastAsia="仿宋_GB2312"/>
                <w:sz w:val="28"/>
                <w:shd w:fill="FDFEFE" w:val="clear"/>
              </w:rPr>
              <w:t>：</w:t>
            </w:r>
          </w:p>
          <w:p>
            <w:pPr>
              <w:pStyle w:val="null3"/>
              <w:ind w:firstLine="480"/>
              <w:jc w:val="both"/>
            </w:pPr>
            <w:r>
              <w:rPr>
                <w:rFonts w:ascii="仿宋_GB2312" w:hAnsi="仿宋_GB2312" w:cs="仿宋_GB2312" w:eastAsia="仿宋_GB2312"/>
                <w:sz w:val="28"/>
                <w:shd w:fill="FDFEFE" w:val="clear"/>
              </w:rPr>
              <w:t>1</w:t>
            </w:r>
            <w:r>
              <w:rPr>
                <w:rFonts w:ascii="仿宋_GB2312" w:hAnsi="仿宋_GB2312" w:cs="仿宋_GB2312" w:eastAsia="仿宋_GB2312"/>
                <w:sz w:val="28"/>
                <w:shd w:fill="FDFEFE" w:val="clear"/>
              </w:rPr>
              <w:t>、《陕西省建筑工程工程量清单计价规则》（2009）；《陕西省建筑装饰工程消耗量定额》（2004）；《全统修缮定额土建工程陕西省价目表》（2001）、《陕西省建筑装饰工程价目表》（2009）及其相关配套费用定额。</w:t>
            </w:r>
          </w:p>
          <w:p>
            <w:pPr>
              <w:pStyle w:val="null3"/>
              <w:ind w:firstLine="480"/>
              <w:jc w:val="both"/>
            </w:pPr>
            <w:r>
              <w:rPr>
                <w:rFonts w:ascii="仿宋_GB2312" w:hAnsi="仿宋_GB2312" w:cs="仿宋_GB2312" w:eastAsia="仿宋_GB2312"/>
                <w:sz w:val="28"/>
                <w:shd w:fill="FDFEFE" w:val="clear"/>
              </w:rPr>
              <w:t>2</w:t>
            </w:r>
            <w:r>
              <w:rPr>
                <w:rFonts w:ascii="仿宋_GB2312" w:hAnsi="仿宋_GB2312" w:cs="仿宋_GB2312" w:eastAsia="仿宋_GB2312"/>
                <w:sz w:val="28"/>
                <w:shd w:fill="FDFEFE" w:val="clear"/>
              </w:rPr>
              <w:t>、人工费依据《陕西省住房和城乡建设厅文件关于调整房屋建筑和市政基础设施工程工程量清单计价综合人工单价的通知》（陕建发〔2021〕1097号）计入。</w:t>
            </w:r>
          </w:p>
          <w:p>
            <w:pPr>
              <w:pStyle w:val="null3"/>
              <w:ind w:firstLine="480"/>
              <w:jc w:val="both"/>
            </w:pPr>
            <w:r>
              <w:rPr>
                <w:rFonts w:ascii="仿宋_GB2312" w:hAnsi="仿宋_GB2312" w:cs="仿宋_GB2312" w:eastAsia="仿宋_GB2312"/>
                <w:sz w:val="28"/>
                <w:shd w:fill="FDFEFE" w:val="clear"/>
              </w:rPr>
              <w:t>3</w:t>
            </w:r>
            <w:r>
              <w:rPr>
                <w:rFonts w:ascii="仿宋_GB2312" w:hAnsi="仿宋_GB2312" w:cs="仿宋_GB2312" w:eastAsia="仿宋_GB2312"/>
                <w:sz w:val="28"/>
                <w:shd w:fill="FDFEFE" w:val="clear"/>
              </w:rPr>
              <w:t>、陕建发〔2021〕1021号文《陕西省住房和城乡建设厅关于全省统一停止收缴建筑业劳保费用的通知》。</w:t>
            </w:r>
          </w:p>
          <w:p>
            <w:pPr>
              <w:pStyle w:val="null3"/>
              <w:ind w:firstLine="480"/>
              <w:jc w:val="both"/>
            </w:pPr>
            <w:r>
              <w:rPr>
                <w:rFonts w:ascii="仿宋_GB2312" w:hAnsi="仿宋_GB2312" w:cs="仿宋_GB2312" w:eastAsia="仿宋_GB2312"/>
                <w:sz w:val="28"/>
                <w:shd w:fill="FDFEFE" w:val="clear"/>
              </w:rPr>
              <w:t>4</w:t>
            </w:r>
            <w:r>
              <w:rPr>
                <w:rFonts w:ascii="仿宋_GB2312" w:hAnsi="仿宋_GB2312" w:cs="仿宋_GB2312" w:eastAsia="仿宋_GB2312"/>
                <w:sz w:val="28"/>
                <w:shd w:fill="FDFEFE" w:val="clear"/>
              </w:rPr>
              <w:t>、陕建发〔2020〕1097号文《陕西省住房和城乡建设厅关于建筑施工安全生产责任保险费用计价的通知》。</w:t>
            </w:r>
          </w:p>
          <w:p>
            <w:pPr>
              <w:pStyle w:val="null3"/>
              <w:ind w:firstLine="480"/>
              <w:jc w:val="both"/>
            </w:pPr>
            <w:r>
              <w:rPr>
                <w:rFonts w:ascii="仿宋_GB2312" w:hAnsi="仿宋_GB2312" w:cs="仿宋_GB2312" w:eastAsia="仿宋_GB2312"/>
                <w:sz w:val="28"/>
                <w:shd w:fill="FDFEFE" w:val="clear"/>
              </w:rPr>
              <w:t>5</w:t>
            </w:r>
            <w:r>
              <w:rPr>
                <w:rFonts w:ascii="仿宋_GB2312" w:hAnsi="仿宋_GB2312" w:cs="仿宋_GB2312" w:eastAsia="仿宋_GB2312"/>
                <w:sz w:val="28"/>
                <w:shd w:fill="FDFEFE" w:val="clear"/>
              </w:rPr>
              <w:t>、延凤路路灯改造项目项目施工图。</w:t>
            </w:r>
          </w:p>
          <w:p>
            <w:pPr>
              <w:pStyle w:val="null3"/>
              <w:ind w:firstLine="480"/>
              <w:jc w:val="both"/>
            </w:pPr>
            <w:r>
              <w:rPr>
                <w:rFonts w:ascii="仿宋_GB2312" w:hAnsi="仿宋_GB2312" w:cs="仿宋_GB2312" w:eastAsia="仿宋_GB2312"/>
                <w:sz w:val="28"/>
                <w:shd w:fill="FDFEFE" w:val="clear"/>
              </w:rPr>
              <w:t>8</w:t>
            </w:r>
            <w:r>
              <w:rPr>
                <w:rFonts w:ascii="仿宋_GB2312" w:hAnsi="仿宋_GB2312" w:cs="仿宋_GB2312" w:eastAsia="仿宋_GB2312"/>
                <w:sz w:val="28"/>
                <w:shd w:fill="FDFEFE" w:val="clear"/>
              </w:rPr>
              <w:t>、主要材料价格依据阎良区政府指导价、陕西工程造价管理信息（2025年第4期材料信息价）及市场价计入。</w:t>
            </w:r>
          </w:p>
          <w:p>
            <w:pPr>
              <w:pStyle w:val="null3"/>
              <w:ind w:firstLine="480"/>
              <w:jc w:val="both"/>
            </w:pPr>
            <w:r>
              <w:rPr>
                <w:rFonts w:ascii="仿宋_GB2312" w:hAnsi="仿宋_GB2312" w:cs="仿宋_GB2312" w:eastAsia="仿宋_GB2312"/>
                <w:sz w:val="28"/>
                <w:shd w:fill="FDFEFE" w:val="clear"/>
              </w:rPr>
              <w:t>9</w:t>
            </w:r>
            <w:r>
              <w:rPr>
                <w:rFonts w:ascii="仿宋_GB2312" w:hAnsi="仿宋_GB2312" w:cs="仿宋_GB2312" w:eastAsia="仿宋_GB2312"/>
                <w:sz w:val="28"/>
                <w:shd w:fill="FDFEFE" w:val="clear"/>
              </w:rPr>
              <w:t>、本项目采用广联达计价软件GCCP6.0，陕西地区6.4100.23.122版本编制。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磋商实行两轮报价。第一轮报价后，磋商小组可以根据项目实施情况调整采购需求，第二轮报价为最终报价。如采购需求没有实质性变化，各供应商的报价应逐次降低，本次报价超过上次报价的，为无效报价。 2、工期：自合同签订之日起60日历天。 3、工程质量标准：质量标准达到国家现行施工验收规范“合格”标准。 4、工程地点：西安市阎良区。 5、合同签订，合同签订后，达到付款条件起7日内支付合同价款（不含暂列金额、安全防护、文明施工措施费）的30%作为预付款。工程进度款及结算支付的方式、时间和比例按如下约定：（1）本工程按月支付承包人进度款，每月25日前，承包人申报当月度累计完成合格工程量，发包人对承包人按月进度申报的已完合格工程进度款进行审核，并进行月度进度支付，支付额为经发包人审定的该月度进度支付总额的70%。待工程整体完工，并经竣工验收合格后，且工程进度款累计付至合同总价款（扣除暂列金额）的80%时暂停支付。（2）工程竣工验收合格后，承包人向发包人递交完整的结算报告和结算资料，发包人在接到承包人提供的完整的结算报告和结算资料后45日内出具初步审核意见。竣工结算审核完成及双方无异议后二个月内，发包人支付至竣工结算金额的97%，剩余3%作为质量保证金，质保期满且无质量问题后30天内一次性免息支付。（3）进度款计算时，由于其它零星项目等所需增加的支付款项，统一在结算时支付。（4）工程变更(签证)按照发包人确认的价款按如下约定支付:单个变更(签证)经发包人确认价，在工程竣工结算中支付，过程不予考虑。（5）当施工中发现不合格项目时，承包人应及时进行整改，同时将整改措施以书面形式报送发包人存档备案。对质量不合格的项目，承包人应无条件进行返工，待整改完成验收合格后，本月度支付该项目工程款。（6）在工程施工期间，如因工程造价管理机构公布的价格调整文件及法律、行政法规和国家有关政策变化而引起合同金额变化，在工程结算时统一进行调整。(7)承包人在领取工程款前应将符合发包人要求的等额发票一并交于发包人。 6、质量保修期：自工程竣工验收合格之日起两年。 7、成交供应商在领取成交通知书时向代理机构提供纸质版响应文件正本1份，副本2份，电子文件1份（光盘或U盘）。装订：纸质竞争性磋商响应文件采用书籍（胶装）方式装订成册，与电子竞争性磋商响应文件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提供投标截止时间前12个月内至少一个月已缴纳的社会保障资金的证明（社会保障资金缴存单据或社保机构开具的社会保险参保缴费情况证明等）；依法不需要缴纳社会保障资金的投标人应提供相关文件证明。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供应商须具备建设行政主管部门颁发的市政公用工程施工总承包三级及以上资质或城市及道路照明工程专业承包三级及以上资质,同时具有合格有效的安全生产许可证。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证书等级：二级及以上注册建造师资格 专业：市政公用工程专业或机电工程专业 补充说明：拟派项目经理须具备市政公用工程（或机电工程）专业二级或以上注册建造师资质并具有有效的安全生产考核合格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供应商应为中小微企业或监狱企业或残疾人福利性单位（供应商须提供相关声明函）。</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本次项目不接受联合体。</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有法定代表人或委托代理人签字(或盖章)并加盖单位章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报价唯一，且响应文件报价未超过最高限价（采购预算）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工程质量标准符合磋商文件要求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自首次递交响应文件之日起90日历日</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自工程竣工验收合格之日起两年</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提供针对本项目的施工方案。方案内容全面，合规性、可行性强，得8分； 方案满足要求，可行性和针对性较强，得6分； 方案基本满足要求，有一定的可行性和针对性，得4分； 方案内容简单笼统，具有较低的可行性、针对性，得2分；方案内容欠缺，缺乏针对性，得1分；未提供不得分。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提供针对本项目制定的措施方案，包括但不限于对施工进行全过程的质量检查，对施工材料、施工方法及实体质量的措施内容。措施详尽，合理可行，逻辑清楚，针对性及可行性强，得8分； 措施较完善，有一定的逻辑性、针对性、可行性，得6分； 措施内容基本合理，基本可行得4分；措施内容简单笼统，方案针对性一般得2分；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提供针对本项目制定的措施方案，包括但不限于安全管理制度、安全教育培训等内容；措施详尽，合理可行，逻辑清楚，针对性及可行性强，得8分； 措施较完善，有一定的逻辑性、针对性、可行性，得6分； 措施内容基本合理，基本可行得4分；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提供针对本项目制定的措施方案，包括但不限于施工工地的现场场容场貌、机械管理的存放、生活卫生的处理、防治大气污染等内容。措施详尽，合理可行，逻辑清楚，针对性及可行性强，得8分； 措施较完善，有一定的逻辑性、针对性、可行性，得6分； 措施内容基本合理，基本可行得4分；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提供针对本项目制定的措施方案，包括但不限于施工准备保证、划分各节点工期,分析确定重点工程工期等内容，确保工期的技术组织措施。措施详尽，合理可行，逻辑清楚，针对性及可行性强，得5分； 措施较完善，有一定的逻辑性、针对性、可行性，得4分；措施内容基本合理，基本可行得3分；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提供针对本项目制定的计划，包括但不限于主要设备配备和工程材料计划等内容。各种设备配置齐全，材料充足，得5分； 各种设备配置较齐全，材料较充足，得4分； 各种设备配置、材料基本满足采购需求，得3分； 各种设备配置、材料勉强满足项目需求得2分； 各种设备配置不齐全，材料不足，不能满足项目需求得1分；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内容详尽，合理可行，逻辑清楚，针对性及可行性强，得5分； 内容较完善，有一定的逻辑性、针对性、可行性，得4分； 内容基本合理，基本可行得3分； 内容简单笼统，针对性一般得2分；内容缺失、针对性较差得1分；未提供不得分。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劳动力安排计划详细，合理，完全满足项目需求得5分； 劳动力安排计划满足要求，较合理，得4分； 劳动力安排计划基本满足要求，基本合理，得3分； 劳动力安排计划笼统，合理性一般，得2分； 劳动力安排计划不合理，不能满足项目需求得1分；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项目部人员配备合理、分工科学、专业知识构架全面、岗位职责明确，得5分； 项目部人员配备较合理、分工较科学、岗位职责明确，得4分； 项目部人员配备基本合理、分工基本科学、岗位职责明确，得3分； 项目部人员配备合理性一般、分工明确，得2分 项目部人员配备不合理，得1分；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根据供应商针对突发事件的可行性（包含恶劣天气影响、自然灾害及政府性重大活动，重大节假日等特殊情况制定应急保障措施）。措施详尽，合理可行，逻辑清楚，针对性及可行性强，得5分； 措施较完善，有一定的逻辑性、针对性、可行性，得4分； 措施内容基本合理，基本可行得3分；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采用新技术、新产品、新工艺、新材料对提高质量、缩短工期、降低造价有积极影响。内容科学合理可行性强得3分；内容针对性较强、科学合理可行性较强得2分；内容针对性一般、基本可行得1分。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2023年3月1日至今承担过类似项目业绩，每有一项业绩得2.5分，最多得5分，未按要求的不得分。 注：业绩证明材料为合同复印件或扫描件（包含合同主要内容及签字盖章等关键信息），时间以合同签订时间为准，未提供或提供不全的不得分。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=(磋商基准价/最终磋商报价)×30。计算结果最多保留两位小数。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