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版本号：ZJGS-ZB-2026（16）20260413001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西安市阎良区西飞第一中学改扩建施工图设计项目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ZJGS-ZB-2026（16）</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西安市阎良区西飞第一中学改扩建施工图设计项目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西安市阎良区西飞第一中学改扩建施工图设计项目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西安市阎良区西飞第一中学改扩建施工图设计项目采购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采购包1（西安市阎良区西飞第一中学改扩建施工图设计项目）：属于专门面向中小企业采购。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1、营业执照等主体资格证明文件：提供合格有效的法人或者其他组织的营业执照等合法证明文件，自然人的身份证明。</w:t>
      </w:r>
    </w:p>
    <w:p>
      <w:pPr>
        <w:pStyle w:val="null3"/>
      </w:pPr>
      <w:r>
        <w:rPr>
          <w:rFonts w:ascii="仿宋_GB2312" w:hAnsi="仿宋_GB2312" w:cs="仿宋_GB2312" w:eastAsia="仿宋_GB2312"/>
        </w:rPr>
        <w:t>2、财务状况报告：提供2024年度至今任意一年经审计的已赋码且完整的财务报告，成立时间至提交投标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3、社会保障资金缴纳证明：提供2025年10月1日至今任意一个月的社会保障资金缴存单据或社保机构开具的社会保险参保缴费情况证明，依法不需要交纳社会保障资金的供应商应提供相关文件证明。</w:t>
      </w:r>
    </w:p>
    <w:p>
      <w:pPr>
        <w:pStyle w:val="null3"/>
      </w:pPr>
      <w:r>
        <w:rPr>
          <w:rFonts w:ascii="仿宋_GB2312" w:hAnsi="仿宋_GB2312" w:cs="仿宋_GB2312" w:eastAsia="仿宋_GB2312"/>
        </w:rPr>
        <w:t>4、税收缴纳证明：提供2025年10月1日至今任意一个月的的纳税证明或完税证明（增值税、企业所得税至少提供一种），依法免税的供应商应提供相关文件证明。</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7、企业资质：供应商具有建设行政主管部门颁发的工程设计综合甲级资质或建筑行业设计乙级及以上资质或建筑行业（建筑工程）乙级及以上资质。</w:t>
      </w:r>
    </w:p>
    <w:p>
      <w:pPr>
        <w:pStyle w:val="null3"/>
      </w:pPr>
      <w:r>
        <w:rPr>
          <w:rFonts w:ascii="仿宋_GB2312" w:hAnsi="仿宋_GB2312" w:cs="仿宋_GB2312" w:eastAsia="仿宋_GB2312"/>
        </w:rPr>
        <w:t>8、项目负责人：拟派设计负责人须具备国家一级注册建筑师执业资格且在本单位注册。</w:t>
      </w:r>
    </w:p>
    <w:p>
      <w:pPr>
        <w:pStyle w:val="null3"/>
      </w:pPr>
      <w:r>
        <w:rPr>
          <w:rFonts w:ascii="仿宋_GB2312" w:hAnsi="仿宋_GB2312" w:cs="仿宋_GB2312" w:eastAsia="仿宋_GB2312"/>
        </w:rPr>
        <w:t>9、法定代表人身份证明/法定代表人授权委托书：法定代表人直接参加投标的，须提供法定代表人身份证明及其身份证复印件加盖供应商公章；法定代表人授权他人参加投标的，须提供法定代表人授权委托书（附法定代表人、被授权人身份证复印件加盖公章）。</w:t>
      </w:r>
    </w:p>
    <w:p>
      <w:pPr>
        <w:pStyle w:val="null3"/>
      </w:pPr>
      <w:r>
        <w:rPr>
          <w:rFonts w:ascii="仿宋_GB2312" w:hAnsi="仿宋_GB2312" w:cs="仿宋_GB2312" w:eastAsia="仿宋_GB2312"/>
        </w:rPr>
        <w:t>10、信用记录：供应商未被列入“中国执行信息公开网”失信被执行人名单，未被列入“信用中国”重大税收违法失信主体，未被列入“中国政府采购网”政府采购严重违法失信行为记录名单。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86866076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18165222982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采购包1：518,900.00元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代理服务费收费标准：代理服务费参照《国家计委关于印发&lt;招标代理服务收费管理暂行办法&gt;的通知》（计价格〔2002〕1980号）和发改办价格〔2003〕857号以及发改价格〔2011〕534号标准计取。 招标代理服务费公布方式：代理服务费金额将在中标结果公告中明确，中标单位在领取中标通知书前，向采购代理机构一次性支付招标代理服务费。 收款银行账户如下： 收款单位名称：致君项目管理有限公司 收款银行： 中国建设银行股份有限公司延安枣园路支行 收款账号：6105 0168 9500 0988 8888。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验收以国内行业标准或合同文本描述的有关技术要求为准。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w:t>
      </w:r>
    </w:p>
    <w:p>
      <w:pPr>
        <w:pStyle w:val="null3"/>
      </w:pPr>
      <w:r>
        <w:rPr>
          <w:rFonts w:ascii="仿宋_GB2312" w:hAnsi="仿宋_GB2312" w:cs="仿宋_GB2312" w:eastAsia="仿宋_GB2312"/>
        </w:rPr>
        <w:t>联系电话：18165222982</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工程新建5#学生宿舍楼，地上5层，设有宿舍83间(六人间)，其中无障碍宿舍1间；床位数为494个，规模为大型宿舍；地上总建筑面积约3472.83㎡；新建学生食堂，地上2层，拟增加餐位1000个，建设规模为中型食堂；地上总建筑面积约2386.74㎡；室外活动场地提升改造，改造面层面积约25187.17㎡，改造基层面积约3000㎡；学校消防系统提升改造，主要包括一体化泵站建设、体育馆雨淋系统建设、室外消火栓系统维修、临期灭火器更换、新增消防控制室设备、室外电气消防系统改造、校园防火门更换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518,900.00</w:t>
      </w:r>
    </w:p>
    <w:p>
      <w:pPr>
        <w:pStyle w:val="null3"/>
      </w:pPr>
      <w:r>
        <w:rPr>
          <w:rFonts w:ascii="仿宋_GB2312" w:hAnsi="仿宋_GB2312" w:cs="仿宋_GB2312" w:eastAsia="仿宋_GB2312"/>
        </w:rPr>
        <w:t>采购包最高限价（元）: 518,900.00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西安市阎良区西飞第一中学改扩建施工图设计项目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518,900.00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标的名称：西安市阎良区西飞第一中学改扩建施工图设计项目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本工程新建</w:t>
            </w:r>
            <w:r>
              <w:rPr>
                <w:rFonts w:ascii="仿宋_GB2312" w:hAnsi="仿宋_GB2312" w:cs="仿宋_GB2312" w:eastAsia="仿宋_GB2312"/>
                <w:sz w:val="24"/>
              </w:rPr>
              <w:t>5#学生宿舍楼，地上5层，设有宿舍83间(六人间)，其中无障碍宿舍1间；床位数为494个，规模为大型宿舍；地上总建筑面积约3472.83㎡；新建学生食堂，地上2层，拟增加餐位1000个，建设规模为中型食堂；地上总建筑面积约2386.74㎡；室外活动场地提升改造，改造面层面积约25187.17㎡，改造基层面积约3000㎡；学校消防系统提升改造，主要包括一体化泵站建设、体育馆雨淋系统建设、室外消火栓系统维修、临期灭火器更换、新增消防控制室设备、室外电气消防系统改造、校园防火门更换等内容。</w:t>
            </w:r>
          </w:p>
          <w:p>
            <w:pPr>
              <w:pStyle w:val="null3"/>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依据学校改扩建要求、相关规范进行设计，主要完成学生宿舍施工图设计、学生食堂施工图设计、室外活动场地提升施工图设计、学校消防系统提升施工图设计。</w:t>
            </w:r>
          </w:p>
          <w:p>
            <w:pPr>
              <w:pStyle w:val="null3"/>
              <w:jc w:val="both"/>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本项目采购内容包括此用地范围总平面报建及施工图设计。</w:t>
            </w:r>
          </w:p>
          <w:p>
            <w:pPr>
              <w:pStyle w:val="null3"/>
              <w:ind w:firstLine="480"/>
              <w:jc w:val="both"/>
            </w:pPr>
            <w:r>
              <w:rPr>
                <w:rFonts w:ascii="仿宋_GB2312" w:hAnsi="仿宋_GB2312" w:cs="仿宋_GB2312" w:eastAsia="仿宋_GB2312"/>
                <w:sz w:val="24"/>
              </w:rPr>
              <w:t>1、完成采购内容涉及的建筑单体施工图、室外工程施工图设计。</w:t>
            </w:r>
          </w:p>
          <w:p>
            <w:pPr>
              <w:pStyle w:val="null3"/>
              <w:ind w:firstLine="480"/>
              <w:jc w:val="both"/>
            </w:pPr>
            <w:r>
              <w:rPr>
                <w:rFonts w:ascii="仿宋_GB2312" w:hAnsi="仿宋_GB2312" w:cs="仿宋_GB2312" w:eastAsia="仿宋_GB2312"/>
                <w:sz w:val="24"/>
              </w:rPr>
              <w:t>2、配合完成后期施工图审查、交底、答疑、验收等技术服务及配合工作。</w:t>
            </w:r>
          </w:p>
          <w:p>
            <w:pPr>
              <w:pStyle w:val="null3"/>
              <w:ind w:firstLine="480"/>
              <w:jc w:val="both"/>
            </w:pPr>
            <w:r>
              <w:rPr>
                <w:rFonts w:ascii="仿宋_GB2312" w:hAnsi="仿宋_GB2312" w:cs="仿宋_GB2312" w:eastAsia="仿宋_GB2312"/>
                <w:sz w:val="24"/>
              </w:rPr>
              <w:t>3、要求所有工程设计符合行业规格标准，符合国内相关标准和有关规定。</w:t>
            </w:r>
          </w:p>
          <w:p>
            <w:pPr>
              <w:pStyle w:val="null3"/>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成果文件及内容符合国家、行业相关标准要求。</w:t>
            </w:r>
          </w:p>
          <w:p>
            <w:pPr>
              <w:pStyle w:val="null3"/>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设计周期及服务期限</w:t>
            </w:r>
          </w:p>
          <w:p>
            <w:pPr>
              <w:pStyle w:val="null3"/>
              <w:ind w:firstLine="480"/>
              <w:jc w:val="both"/>
            </w:pPr>
            <w:r>
              <w:rPr>
                <w:rFonts w:ascii="仿宋_GB2312" w:hAnsi="仿宋_GB2312" w:cs="仿宋_GB2312" w:eastAsia="仿宋_GB2312"/>
                <w:sz w:val="24"/>
              </w:rPr>
              <w:t>设计周期：</w:t>
            </w:r>
            <w:r>
              <w:rPr>
                <w:rFonts w:ascii="仿宋_GB2312" w:hAnsi="仿宋_GB2312" w:cs="仿宋_GB2312" w:eastAsia="仿宋_GB2312"/>
                <w:sz w:val="24"/>
              </w:rPr>
              <w:t>40日历天；</w:t>
            </w:r>
          </w:p>
          <w:p>
            <w:pPr>
              <w:pStyle w:val="null3"/>
              <w:ind w:firstLine="480"/>
              <w:jc w:val="both"/>
            </w:pPr>
            <w:r>
              <w:rPr>
                <w:rFonts w:ascii="仿宋_GB2312" w:hAnsi="仿宋_GB2312" w:cs="仿宋_GB2312" w:eastAsia="仿宋_GB2312"/>
                <w:sz w:val="24"/>
              </w:rPr>
              <w:t>服务期限：服务期限至施工验收完成。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款项结算</w:t>
            </w:r>
          </w:p>
          <w:p>
            <w:pPr>
              <w:pStyle w:val="null3"/>
              <w:ind w:firstLine="480"/>
              <w:jc w:val="both"/>
            </w:pPr>
            <w:r>
              <w:rPr>
                <w:rFonts w:ascii="仿宋_GB2312" w:hAnsi="仿宋_GB2312" w:cs="仿宋_GB2312" w:eastAsia="仿宋_GB2312"/>
                <w:sz w:val="24"/>
              </w:rPr>
              <w:t>合同签订后支付合同总价款的</w:t>
            </w:r>
            <w:r>
              <w:rPr>
                <w:rFonts w:ascii="仿宋_GB2312" w:hAnsi="仿宋_GB2312" w:cs="仿宋_GB2312" w:eastAsia="仿宋_GB2312"/>
                <w:sz w:val="24"/>
              </w:rPr>
              <w:t>40%；主体验收后支付合同总价款的30%，成果交付竣工验收合格后，支付合同总价款的30%。</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验收要求</w:t>
            </w:r>
          </w:p>
          <w:p>
            <w:pPr>
              <w:pStyle w:val="null3"/>
              <w:ind w:firstLine="480"/>
              <w:jc w:val="both"/>
            </w:pPr>
            <w:r>
              <w:rPr>
                <w:rFonts w:ascii="仿宋_GB2312" w:hAnsi="仿宋_GB2312" w:cs="仿宋_GB2312" w:eastAsia="仿宋_GB2312"/>
                <w:sz w:val="24"/>
              </w:rPr>
              <w:t>验收以国内行业标准或合同文本描述的有关技术要求为准。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设计周期：40日历天； 服务期限：服务期限至施工验收完成。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验收以国内行业标准或合同文本描述的有关技术要求为准。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主体验收后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成果交付竣工验收合格后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1.在合同履行期间，发包人要求终止或解除合同，设计人未开始设计工作的，不退还发包人已付的定金；已开始设计工作的，发包人应根据设计人已进行的实际工作量计费。 2.合同生效后，发包人应按本合同第五条规定的金额和时间向设计人支付设计费。发包人的上级或设计审批部门对设计文件不审批或本合同项目停建、缓建，发包人均按7.1条规定支付设计费。 3.设计人对设计资料及文件出现的遗漏或错误负责修改或补充。由于设计人员错误造成工程质量事故损失，设计人除负责采取补救措施外，应免收直损失部分的设计费，并全额承担建设单位因此发生的经济损失。 4.由于设计自身原因，延误了按本合同第四条规定的设计资料及设计文件的交付时间，每延误一天，应减收该项目应收设计费的千分之五。 5.因设计人原因导致施工中发生设计变更增加的的工程费用由设计人承担。 6.因设计人原因导致施工中出现窝工、停工所增加的费用由设计人承担 7.设计人设计的建筑物造价超出项目所在地同类建筑物造价水平的，应按照超出总造价的百分之五十向建设单位支付赔偿金。 8.合同生效后，设计人要求终止或解除合同，设计人应双倍返还预付款。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至今任意一年经审计的已赋码且完整的财务报告，成立时间至提交投标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提供合格有效的法人或者其他组织的营业执照等合法证明文件，自然人的身份证明。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至今任意一年经审计的已赋码且完整的财务报告，成立时间至提交投标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提供2025年10月1日至今任意一个月的社会保障资金缴存单据或社保机构开具的社会保险参保缴费情况证明，依法不需要交纳社会保障资金的供应商应提供相关文件证明。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提供2025年10月1日至今任意一个月的的纳税证明或完税证明（增值税、企业所得税至少提供一种），依法免税的供应商应提供相关文件证明。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供应商具有建设行政主管部门颁发的工程设计综合甲级资质或建筑行业设计乙级及以上资质或建筑行业（建筑工程）乙级及以上资质。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拟派设计负责人须具备国家一级注册建筑师执业资格且在本单位注册。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法定代表人直接参加投标的，须提供法定代表人身份证明及其身份证复印件加盖供应商公章；法定代表人授权他人参加投标的，须提供法定代表人授权委托书（附法定代表人、被授权人身份证复印件加盖公章）。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供应商未被列入“中国执行信息公开网”失信被执行人名单，未被列入“信用中国”重大税收违法失信主体，未被列入“中国政府采购网”政府采购严重违法失信行为记录名单。</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投标方案.docx 中小企业声明函 首次磋商报价表.docx 供应商应提交的相关资格证明材料 报价表 资格证明文件.docx 供应商承诺书.docx 响应文件封面 商务响应偏离表.docx 残疾人福利性单位声明函 其他资料.docx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标的清单 首次磋商报价表.docx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商务响应偏离表.docx 标的清单 首次磋商报价表.docx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商务响应偏离表.docx 标的清单 首次磋商报价表.docx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投标方案.docx 中小企业声明函 首次磋商报价表.docx 供应商应提交的相关资格证明材料 报价表 资格证明文件.docx 供应商承诺书.docx 响应文件封面 商务响应偏离表.docx 残疾人福利性单位声明函 标的清单 其他资料.docx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投标方案.docx 中小企业声明函 首次磋商报价表.docx 供应商应提交的相关资格证明材料 报价表 资格证明文件.docx 供应商承诺书.docx 响应文件封面 商务响应偏离表.docx 残疾人福利性单位声明函 标的清单 其他资料.docx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拟委派的项目负责人</w:t>
            </w:r>
          </w:p>
        </w:tc>
        <w:tc>
          <w:tcPr>
            <w:tcW w:type="dxa" w:w="2492"/>
          </w:tcPr>
          <w:p>
            <w:pPr>
              <w:pStyle w:val="null3"/>
            </w:pPr>
            <w:r>
              <w:rPr>
                <w:rFonts w:ascii="仿宋_GB2312" w:hAnsi="仿宋_GB2312" w:cs="仿宋_GB2312" w:eastAsia="仿宋_GB2312"/>
              </w:rPr>
              <w:t>项目负责人具有建筑、结构相关专业高级及以上职称得3分； 项目负责人具有2023年以来类似业绩（提供合同复印件并加盖公章。时间以合同签订时间为准，无签订时间的无效），每提供一个合格的项目业绩得3分，最高得6分。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其他主要人员</w:t>
            </w:r>
          </w:p>
        </w:tc>
        <w:tc>
          <w:tcPr>
            <w:tcW w:type="dxa" w:w="2492"/>
          </w:tcPr>
          <w:p>
            <w:pPr>
              <w:pStyle w:val="null3"/>
            </w:pPr>
            <w:r>
              <w:rPr>
                <w:rFonts w:ascii="仿宋_GB2312" w:hAnsi="仿宋_GB2312" w:cs="仿宋_GB2312" w:eastAsia="仿宋_GB2312"/>
              </w:rPr>
              <w:t>专业配置齐全，包含建筑、结构、暖通、电气、给排水等相关专业，且各专业人员具有相关专业中级及以上职称，每增加一人得1分，最高得5分；各专业配置人员均具有国家相关注册执业资格证书的每增加一人得2分，最高得6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对项目区的熟悉程度、主要要素及制约条件分析科学、合理</w:t>
            </w:r>
          </w:p>
        </w:tc>
        <w:tc>
          <w:tcPr>
            <w:tcW w:type="dxa" w:w="2492"/>
          </w:tcPr>
          <w:p>
            <w:pPr>
              <w:pStyle w:val="null3"/>
            </w:pPr>
            <w:r>
              <w:rPr>
                <w:rFonts w:ascii="仿宋_GB2312" w:hAnsi="仿宋_GB2312" w:cs="仿宋_GB2312" w:eastAsia="仿宋_GB2312"/>
              </w:rPr>
              <w:t>从项目的实施背景、工作目标、以及对项目前期资料收集、分析、理解与认识进行等说明编制，科学、合理得【3-5）分；对本项目的实施背景、工作目标、以及对项目前期资料收集、分析、理解与认识等概况阐述不详细、基本合理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成本估算及效益分析的科学性、合理性</w:t>
            </w:r>
          </w:p>
        </w:tc>
        <w:tc>
          <w:tcPr>
            <w:tcW w:type="dxa" w:w="2492"/>
          </w:tcPr>
          <w:p>
            <w:pPr>
              <w:pStyle w:val="null3"/>
            </w:pPr>
            <w:r>
              <w:rPr>
                <w:rFonts w:ascii="仿宋_GB2312" w:hAnsi="仿宋_GB2312" w:cs="仿宋_GB2312" w:eastAsia="仿宋_GB2312"/>
              </w:rPr>
              <w:t>对本项目成本估算及效益分析非常科学、合理得【3-5）分；对本项目成本估算及效益分析基本合理得【0-3）分。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建设内容完整性及方案合理性</w:t>
            </w:r>
          </w:p>
        </w:tc>
        <w:tc>
          <w:tcPr>
            <w:tcW w:type="dxa" w:w="2492"/>
          </w:tcPr>
          <w:p>
            <w:pPr>
              <w:pStyle w:val="null3"/>
            </w:pPr>
            <w:r>
              <w:rPr>
                <w:rFonts w:ascii="仿宋_GB2312" w:hAnsi="仿宋_GB2312" w:cs="仿宋_GB2312" w:eastAsia="仿宋_GB2312"/>
              </w:rPr>
              <w:t>对本项目区建设内容表述完整、提出的方案设计合理、经济、可行，使用标准及规范合理。全部体现且合理可行得【7-10）分；基本体现且基本合理可行得【4-7）分；不合理可行得【0-4）分。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设计工作进度和周期保障措施</w:t>
            </w:r>
          </w:p>
        </w:tc>
        <w:tc>
          <w:tcPr>
            <w:tcW w:type="dxa" w:w="2492"/>
          </w:tcPr>
          <w:p>
            <w:pPr>
              <w:pStyle w:val="null3"/>
            </w:pPr>
            <w:r>
              <w:rPr>
                <w:rFonts w:ascii="仿宋_GB2312" w:hAnsi="仿宋_GB2312" w:cs="仿宋_GB2312" w:eastAsia="仿宋_GB2312"/>
              </w:rPr>
              <w:t>针对本项目制定详尽可行的工作进度计划，时间与进度安排合理，完全满足项目实施要求得【7-10）分，时间与进度安排基本合理，基本满足项目实施要求得【4-7），不合理可行得【0-4）分。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质量和技术保障措施</w:t>
            </w:r>
          </w:p>
        </w:tc>
        <w:tc>
          <w:tcPr>
            <w:tcW w:type="dxa" w:w="2492"/>
          </w:tcPr>
          <w:p>
            <w:pPr>
              <w:pStyle w:val="null3"/>
            </w:pPr>
            <w:r>
              <w:rPr>
                <w:rFonts w:ascii="仿宋_GB2312" w:hAnsi="仿宋_GB2312" w:cs="仿宋_GB2312" w:eastAsia="仿宋_GB2312"/>
              </w:rPr>
              <w:t>质量和技术保障措施全面可行。保证本次方案编制内容完整，结构合理、功能齐全、可行性高的保障措施。对全部有效供应商进行横向比较，制度完善，保障措施全面可行计【7-10）分，基本可行得【4-7），不合理、不详细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设计对工程造价的预控措施</w:t>
            </w:r>
          </w:p>
        </w:tc>
        <w:tc>
          <w:tcPr>
            <w:tcW w:type="dxa" w:w="2492"/>
          </w:tcPr>
          <w:p>
            <w:pPr>
              <w:pStyle w:val="null3"/>
            </w:pPr>
            <w:r>
              <w:rPr>
                <w:rFonts w:ascii="仿宋_GB2312" w:hAnsi="仿宋_GB2312" w:cs="仿宋_GB2312" w:eastAsia="仿宋_GB2312"/>
              </w:rPr>
              <w:t>分项投资估算和经济技术指标的计费程序明确、合理、项目齐全得【3-5）分，比较合理不齐全得【0-3）分。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重点、难点分析及对策措施</w:t>
            </w:r>
          </w:p>
        </w:tc>
        <w:tc>
          <w:tcPr>
            <w:tcW w:type="dxa" w:w="2492"/>
          </w:tcPr>
          <w:p>
            <w:pPr>
              <w:pStyle w:val="null3"/>
            </w:pPr>
            <w:r>
              <w:rPr>
                <w:rFonts w:ascii="仿宋_GB2312" w:hAnsi="仿宋_GB2312" w:cs="仿宋_GB2312" w:eastAsia="仿宋_GB2312"/>
              </w:rPr>
              <w:t>开展本项目的重点和难点理解充分，并结合类似经验提出科学合理、操作性强、有创造性的对策措施。重点难点分析准确到位、解决措施合理、有详细说明得【3-5）分，重点、难点分析不到位，措施不全面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廉洁从业措施和保密措施</w:t>
            </w:r>
          </w:p>
        </w:tc>
        <w:tc>
          <w:tcPr>
            <w:tcW w:type="dxa" w:w="2492"/>
          </w:tcPr>
          <w:p>
            <w:pPr>
              <w:pStyle w:val="null3"/>
            </w:pPr>
            <w:r>
              <w:rPr>
                <w:rFonts w:ascii="仿宋_GB2312" w:hAnsi="仿宋_GB2312" w:cs="仿宋_GB2312" w:eastAsia="仿宋_GB2312"/>
              </w:rPr>
              <w:t>项目负责人、相关技术人员及供应商的廉洁从业和保密措施。 廉洁从业措施和保密措施内容详细完整，得【3-5）分；廉洁从业措施和保密措施内容较为详细完整，得【0-3）分。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具有具体、可行的后续工程服务全过程内容及承诺，后续配合施工服务计划完整可行，保证措施有力计【3-5），具有一般可行的后续服务内容及承诺计【0-3）分。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供应商近三年（2023年至今）具有类似项目业绩，一项得2分，最高 10分。（需提供合同复印件并加盖公章，时间以合同签订时间为准，无签订时间的无效）。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价格分采用低价优先法计算，即满足采购文件要求的最低报价为评标基准价，其价格分为满分。其他供应商的价格分统一按照下列公式计算：报价得分=（评标基准价/最后磋商报价）×10 说明：本项目为专门面向中小企业采购的项目，不再执行价格评审优惠的扶持政策。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首次磋商报价表.docx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详见附件：主要合同条款.docx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