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版本号：241202001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临潼区2024年粮食智慧农业物联网示范基地项目</w:t>
      </w:r>
    </w:p>
    <w:p>
      <w:pPr>
        <w:pStyle w:val="null3"/>
        <w:jc w:val="center"/>
        <w:outlineLvl w:val="2"/>
      </w:pPr>
      <w:r>
        <w:rPr>
          <w:sz w:val="28"/>
          <w:b/>
        </w:rPr>
        <w:t>采购项目编号：</w:t>
      </w:r>
      <w:r>
        <w:rPr>
          <w:sz w:val="28"/>
          <w:b/>
        </w:rPr>
        <w:t>YC24103047(CGP)</w:t>
      </w:r>
      <w:r>
        <w:br/>
      </w:r>
      <w:r>
        <w:br/>
      </w:r>
      <w:r>
        <w:br/>
      </w:r>
    </w:p>
    <w:p>
      <w:pPr>
        <w:pStyle w:val="null3"/>
        <w:jc w:val="center"/>
        <w:outlineLvl w:val="2"/>
      </w:pPr>
      <w:r>
        <w:rPr>
          <w:sz w:val="28"/>
          <w:b/>
        </w:rPr>
        <w:t>西安市临潼区农技推广服务中心</w:t>
      </w:r>
    </w:p>
    <w:p>
      <w:pPr>
        <w:pStyle w:val="null3"/>
        <w:jc w:val="center"/>
        <w:outlineLvl w:val="2"/>
      </w:pPr>
      <w:r>
        <w:rPr>
          <w:sz w:val="28"/>
          <w:b/>
        </w:rPr>
        <w:t>亿诚建设项目管理有限公司</w:t>
      </w:r>
      <w:r>
        <w:rPr>
          <w:sz w:val="28"/>
          <w:b/>
        </w:rPr>
        <w:t>共同编制</w:t>
      </w:r>
    </w:p>
    <w:p>
      <w:pPr>
        <w:pStyle w:val="null3"/>
        <w:jc w:val="center"/>
        <w:outlineLvl w:val="2"/>
      </w:pPr>
      <w:r>
        <w:rPr>
          <w:sz w:val="28"/>
          <w:b/>
        </w:rPr>
        <w:t>2024年12月02日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亿诚建设项目管理有限公司</w:t>
      </w:r>
      <w:r>
        <w:rPr/>
        <w:t>（以下简称“代理机构”）受</w:t>
      </w:r>
      <w:r>
        <w:rPr/>
        <w:t>西安市临潼区农技推广服务中心</w:t>
      </w:r>
      <w:r>
        <w:rPr/>
        <w:t>委托，拟对</w:t>
      </w:r>
      <w:r>
        <w:rPr/>
        <w:t>临潼区2024年粮食智慧农业物联网示范基地项目</w:t>
      </w:r>
      <w:r>
        <w:rPr/>
        <w:t>进行国内公开招标，兹邀请符合本次招标要求的供应商参加投标。</w:t>
      </w:r>
    </w:p>
    <w:p>
      <w:pPr>
        <w:pStyle w:val="null3"/>
        <w:outlineLvl w:val="2"/>
      </w:pPr>
      <w:r>
        <w:rPr>
          <w:sz w:val="28"/>
          <w:b/>
        </w:rPr>
        <w:t>一、采购项目编号：</w:t>
      </w:r>
      <w:r>
        <w:rPr>
          <w:sz w:val="28"/>
          <w:b/>
        </w:rPr>
        <w:t>YC24103047(CGP)</w:t>
      </w:r>
    </w:p>
    <w:p>
      <w:pPr>
        <w:pStyle w:val="null3"/>
        <w:outlineLvl w:val="2"/>
      </w:pPr>
      <w:r>
        <w:rPr>
          <w:sz w:val="28"/>
          <w:b/>
        </w:rPr>
        <w:t>二、采购项目名称：</w:t>
      </w:r>
      <w:r>
        <w:rPr>
          <w:sz w:val="28"/>
          <w:b/>
        </w:rPr>
        <w:t>临潼区2024年粮食智慧农业物联网示范基地项目</w:t>
      </w:r>
    </w:p>
    <w:p>
      <w:pPr>
        <w:pStyle w:val="null3"/>
        <w:outlineLvl w:val="2"/>
      </w:pPr>
      <w:r>
        <w:rPr>
          <w:sz w:val="28"/>
          <w:b/>
        </w:rPr>
        <w:t>三、招标项目简介</w:t>
      </w:r>
    </w:p>
    <w:p>
      <w:pPr>
        <w:pStyle w:val="null3"/>
        <w:ind w:firstLine="480"/>
      </w:pPr>
      <w:r>
        <w:rPr/>
        <w:t>建设粮食智慧农业物联网示范基地5个，其中数字农业高标准农田示范点1个，智慧农业示范点4个。选取汪洋农业合作社等10个新型粮食生产经营主体，以雨金、油槐、相桥等街办粮食主产区为核心，依托数字农业物联网技术全力打造绿色、高质、高效和节水节药节肥节本增效的高标准智慧农业示范样板田，带动粮食产业科学管理，智慧化生产，促进粮食大面积单产提升。</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采购包1（临潼区2024年粮食智慧农业物联网示范基地项目）：属于专门面向中小企业采购。</w:t>
      </w:r>
    </w:p>
    <w:p>
      <w:pPr>
        <w:pStyle w:val="null3"/>
        <w:ind w:firstLine="480"/>
      </w:pPr>
      <w:r>
        <w:rPr/>
        <w:t>（三）本项目的特定资格要求：</w:t>
      </w:r>
    </w:p>
    <w:p>
      <w:pPr>
        <w:pStyle w:val="null3"/>
      </w:pPr>
      <w:r>
        <w:rPr/>
        <w:t>采购包1：</w:t>
      </w:r>
    </w:p>
    <w:p>
      <w:pPr>
        <w:pStyle w:val="null3"/>
      </w:pPr>
      <w:r>
        <w:rPr/>
        <w:t>1、营业执照：供应商须为合法注册的法人或者其他组织，并出具合法有效的营业执照；</w:t>
      </w:r>
    </w:p>
    <w:p>
      <w:pPr>
        <w:pStyle w:val="null3"/>
      </w:pPr>
      <w:r>
        <w:rPr/>
        <w:t>2、法人代表证明书或法人授权委托书：法人代表证明书或法人授权委托书，附法人及被委托人身份证（法定代表人直接参加投标的只需提供法定代表人身份证）;</w:t>
      </w:r>
    </w:p>
    <w:p>
      <w:pPr>
        <w:pStyle w:val="null3"/>
      </w:pPr>
      <w:r>
        <w:rPr/>
        <w:t>3、财务状况报告：提供2023年度经审计的财务审计报告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w:t>
      </w:r>
    </w:p>
    <w:p>
      <w:pPr>
        <w:pStyle w:val="null3"/>
      </w:pPr>
      <w:r>
        <w:rPr/>
        <w:t>4、税收缴纳证明：提供投标截止时间前6个月内任意一个月依法缴纳的税收证明（以税款所属期为准，依法免税的应提供相关证明材料）；</w:t>
      </w:r>
    </w:p>
    <w:p>
      <w:pPr>
        <w:pStyle w:val="null3"/>
      </w:pPr>
      <w:r>
        <w:rPr/>
        <w:t>5、社会保障资金缴纳证明：提供投标截止时间前6个月内任意一个月的社保缴纳证明或社保机构开具的社会保险参保缴费情况证明（以税款所属期为准，依法不需要缴纳社会保障资金的应提供相关证明材料）；</w:t>
      </w:r>
    </w:p>
    <w:p>
      <w:pPr>
        <w:pStyle w:val="null3"/>
      </w:pPr>
      <w:r>
        <w:rPr/>
        <w:t>6、无重大违法记录的书面声明：参加政府采购活动前三年内，在经营活动中没有重大违法记录的书面声明；</w:t>
      </w:r>
    </w:p>
    <w:p>
      <w:pPr>
        <w:pStyle w:val="null3"/>
      </w:pPr>
      <w:r>
        <w:rPr/>
        <w:t>7、履行合同书面声明：履行合同所必需的设备和专业技术能力的书面声明；</w:t>
      </w:r>
    </w:p>
    <w:p>
      <w:pPr>
        <w:pStyle w:val="null3"/>
      </w:pPr>
      <w:r>
        <w:rPr/>
        <w:t>8、供应商关联关系承诺书：单位负责人为同一人或者存在直接控股、管理关系的不同供应商，不得参加同一合同项下的投标活动；</w:t>
      </w:r>
    </w:p>
    <w:p>
      <w:pPr>
        <w:pStyle w:val="null3"/>
      </w:pPr>
      <w:r>
        <w:rPr/>
        <w:t>9、信誉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p>
      <w:pPr>
        <w:pStyle w:val="null3"/>
      </w:pPr>
      <w:r>
        <w:rPr/>
        <w:t>10、落实政府采购政策需满足的资格要求：本项目为专门面向中小企业项目，供应商应为中型企业或小型、微型企业或监狱企业或残疾人福利性单位；</w:t>
      </w:r>
    </w:p>
    <w:p>
      <w:pPr>
        <w:pStyle w:val="null3"/>
      </w:pPr>
      <w:r>
        <w:rPr/>
        <w:t>11、非联合体投标声明：本项目不接受联合体投标。</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西安市临潼区农技推广服务中心</w:t>
      </w:r>
    </w:p>
    <w:p>
      <w:pPr>
        <w:pStyle w:val="null3"/>
      </w:pPr>
      <w:r>
        <w:rPr/>
        <w:t xml:space="preserve"> 地址： </w:t>
      </w:r>
      <w:r>
        <w:rPr/>
        <w:t>临潼区银桥大道90号</w:t>
      </w:r>
    </w:p>
    <w:p>
      <w:pPr>
        <w:pStyle w:val="null3"/>
      </w:pPr>
      <w:r>
        <w:rPr/>
        <w:t xml:space="preserve"> 邮编： </w:t>
      </w:r>
      <w:r>
        <w:rPr/>
        <w:t>710600</w:t>
      </w:r>
    </w:p>
    <w:p>
      <w:pPr>
        <w:pStyle w:val="null3"/>
      </w:pPr>
      <w:r>
        <w:rPr/>
        <w:t xml:space="preserve"> 联系人： </w:t>
      </w:r>
      <w:r>
        <w:rPr/>
        <w:t>西安市临潼区农技推广服务中心</w:t>
      </w:r>
    </w:p>
    <w:p>
      <w:pPr>
        <w:pStyle w:val="null3"/>
      </w:pPr>
      <w:r>
        <w:rPr/>
        <w:t xml:space="preserve"> 联系电话： </w:t>
      </w:r>
      <w:r>
        <w:rPr/>
        <w:t>13809193699</w:t>
      </w:r>
    </w:p>
    <w:p>
      <w:pPr>
        <w:pStyle w:val="null3"/>
        <w:outlineLvl w:val="2"/>
      </w:pPr>
      <w:r>
        <w:rPr>
          <w:sz w:val="28"/>
          <w:b/>
        </w:rPr>
        <w:t>代理机构：</w:t>
      </w:r>
      <w:r>
        <w:rPr>
          <w:sz w:val="28"/>
          <w:b/>
        </w:rPr>
        <w:t>亿诚建设项目管理有限公司</w:t>
      </w:r>
    </w:p>
    <w:p>
      <w:pPr>
        <w:pStyle w:val="null3"/>
      </w:pPr>
      <w:r>
        <w:rPr/>
        <w:t xml:space="preserve"> 地址： </w:t>
      </w:r>
      <w:r>
        <w:rPr/>
        <w:t>西安市临潼区环城东路东环路小区4号楼101室</w:t>
      </w:r>
    </w:p>
    <w:p>
      <w:pPr>
        <w:pStyle w:val="null3"/>
      </w:pPr>
      <w:r>
        <w:rPr/>
        <w:t xml:space="preserve"> 邮编： </w:t>
      </w:r>
      <w:r>
        <w:rPr/>
        <w:t>710600</w:t>
      </w:r>
    </w:p>
    <w:p>
      <w:pPr>
        <w:pStyle w:val="null3"/>
      </w:pPr>
      <w:r>
        <w:rPr/>
        <w:t xml:space="preserve"> 联系人： </w:t>
      </w:r>
      <w:r>
        <w:rPr/>
        <w:t>宋利利</w:t>
      </w:r>
    </w:p>
    <w:p>
      <w:pPr>
        <w:pStyle w:val="null3"/>
      </w:pPr>
      <w:r>
        <w:rPr/>
        <w:t xml:space="preserve"> 联系电话： </w:t>
      </w:r>
      <w:r>
        <w:rPr/>
        <w:t>029-83992983</w:t>
      </w:r>
    </w:p>
    <w:p>
      <w:pPr>
        <w:pStyle w:val="null3"/>
        <w:outlineLvl w:val="2"/>
      </w:pPr>
      <w:r>
        <w:rPr>
          <w:sz w:val="28"/>
          <w:b/>
        </w:rPr>
        <w:t>采购监督机构：</w:t>
      </w:r>
      <w:r>
        <w:rPr>
          <w:sz w:val="28"/>
          <w:b/>
        </w:rPr>
        <w:t>西安市临潼区政府采购管理股</w:t>
      </w:r>
    </w:p>
    <w:p>
      <w:pPr>
        <w:pStyle w:val="null3"/>
        <w:ind w:firstLine="480"/>
      </w:pPr>
      <w:r>
        <w:rPr/>
        <w:t>联系人：</w:t>
      </w:r>
      <w:r>
        <w:rPr/>
        <w:t>马明</w:t>
      </w:r>
    </w:p>
    <w:p>
      <w:pPr>
        <w:pStyle w:val="null3"/>
        <w:ind w:firstLine="480"/>
      </w:pPr>
      <w:r>
        <w:rPr/>
        <w:t>联系电话：</w:t>
      </w:r>
      <w:r>
        <w:rPr/>
        <w:t>029-83825758</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采购包1：1,900,000.00元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代理服务费收费标准：参照计价格【2002】1980号及发改价格【2011】534号文件规定标准，向“亿诚建设项目管理有限公司”交纳。 户 名：亿诚建设项目管理有限公司 开户行：中国民生银行西安吉祥路支行 账 号：699295538 请成交供应商按照要求将服务费汇入以上指定账户，如因自身原因发生错误，产生的不利后果均由供应商自行承担。</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西安市临潼区农技推广服务中心</w:t>
      </w:r>
      <w:r>
        <w:rPr/>
        <w:t>和</w:t>
      </w:r>
      <w:r>
        <w:rPr/>
        <w:t>亿诚建设项目管理有限公司</w:t>
      </w:r>
      <w:r>
        <w:rPr/>
        <w:t>享有。对招标文件中供应商参加本次政府采购活动应当具备的条件，招标项目技术、服务、商务及其他要求，评标细则及标准由</w:t>
      </w:r>
      <w:r>
        <w:rPr/>
        <w:t>西安市临潼区农技推广服务中心</w:t>
      </w:r>
      <w:r>
        <w:rPr/>
        <w:t>负责解释。除上述招标文件内容，其他内容由</w:t>
      </w:r>
      <w:r>
        <w:rPr/>
        <w:t>亿诚建设项目管理有限公司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西安市临潼区农技推广服务中心</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亿诚建设项目管理有限公司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合格，达到国家相关规范及标准，符合采购人的要求。</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亿诚建设项目管理有限公司</w:t>
      </w:r>
      <w:r>
        <w:rPr/>
        <w:t xml:space="preserve"> 负责答复；供应商对除采购需求外的采购文件的询问、质疑由</w:t>
      </w:r>
      <w:r>
        <w:rPr/>
        <w:t>亿诚建设项目管理有限公司</w:t>
      </w:r>
      <w:r>
        <w:rPr/>
        <w:t xml:space="preserve"> 负责答复；供应商对采购过程、采购结果的询问、质疑由 </w:t>
      </w:r>
      <w:r>
        <w:rPr/>
        <w:t>亿诚建设项目管理有限公司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联系人：宋利利</w:t>
      </w:r>
    </w:p>
    <w:p>
      <w:pPr>
        <w:pStyle w:val="null3"/>
      </w:pPr>
      <w:r>
        <w:rPr/>
        <w:t>联系电话：029-83992983</w:t>
      </w:r>
    </w:p>
    <w:p>
      <w:pPr>
        <w:pStyle w:val="null3"/>
      </w:pPr>
      <w:r>
        <w:rPr/>
        <w:t>地址：西安市临潼区环城东路东环路小区4号楼101室</w:t>
      </w:r>
    </w:p>
    <w:p>
      <w:pPr>
        <w:pStyle w:val="null3"/>
      </w:pPr>
      <w:r>
        <w:rPr/>
        <w:t>邮编：710600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建设粮食智慧农业物联网示范基地5个，其中数字农业高标准农田示范点1个，智慧农业示范点4个。选取汪洋农业合作社等10个新型粮食生产经营主体，以雨金、油槐、相桥等街办粮食主产区为核心，依托数字农业物联网技术全力打造绿色、高质、高效和节水节药节肥节本增效的高标准智慧农业示范样板田，带动粮食产业科学管理，智慧化生产，促进粮食大面积单产提升。</w:t>
      </w:r>
    </w:p>
    <w:p>
      <w:pPr>
        <w:pStyle w:val="null3"/>
        <w:outlineLvl w:val="2"/>
      </w:pPr>
      <w:r>
        <w:rPr>
          <w:sz w:val="28"/>
          <w:b/>
        </w:rPr>
        <w:t>3.2采购内容</w:t>
      </w:r>
    </w:p>
    <w:p>
      <w:pPr>
        <w:pStyle w:val="null3"/>
      </w:pPr>
      <w:r>
        <w:rPr/>
        <w:t>采购包1：</w:t>
      </w:r>
    </w:p>
    <w:p>
      <w:pPr>
        <w:pStyle w:val="null3"/>
      </w:pPr>
      <w:r>
        <w:rPr/>
        <w:t>采购包预算金额（元）: 1,900,000.00</w:t>
      </w:r>
    </w:p>
    <w:p>
      <w:pPr>
        <w:pStyle w:val="null3"/>
      </w:pPr>
      <w:r>
        <w:rPr/>
        <w:t>采购包最高限价（元）: 1,900,000.00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临潼区2024年粮食智慧农业物联网示范基地项目</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标的名称：临潼区2024年粮食智慧农业物联网示范基地项目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0"/>
            </w:pPr>
            <w:r>
              <w:rPr>
                <w:rFonts w:ascii="宋体" w:hAnsi="宋体" w:cs="宋体" w:eastAsia="宋体"/>
                <w:sz w:val="24"/>
                <w:color w:val="000000"/>
              </w:rPr>
              <w:t>一、招标采购内容</w:t>
            </w:r>
          </w:p>
          <w:p>
            <w:pPr>
              <w:pStyle w:val="null3"/>
              <w:ind w:firstLine="480"/>
            </w:pPr>
            <w:r>
              <w:rPr>
                <w:rFonts w:ascii="宋体" w:hAnsi="宋体" w:cs="宋体" w:eastAsia="宋体"/>
                <w:sz w:val="24"/>
                <w:color w:val="000000"/>
              </w:rPr>
              <w:t>1、临潼区级智慧粮田数据监测遥控指挥中心系统</w:t>
            </w:r>
          </w:p>
          <w:p>
            <w:pPr>
              <w:pStyle w:val="null3"/>
              <w:ind w:firstLine="480"/>
            </w:pPr>
            <w:r>
              <w:rPr>
                <w:rFonts w:ascii="宋体" w:hAnsi="宋体" w:cs="宋体" w:eastAsia="宋体"/>
                <w:sz w:val="24"/>
                <w:color w:val="000000"/>
              </w:rPr>
              <w:t>设计装饰智慧粮田数据监测遥控指挥中心展示厅，展示临潼全区农业粮食作物产业布局、发展历程、科技应用、未来目标等，部署安装数字高清展示系统及音视频多媒体系统，区级指挥中心重点部署【临潼区级智慧粮田数据监测遥控指挥平台】集中展示全区种植基地的各项信息，通过临潼区级智慧农业大数据监测指挥中心对全区农业企业及种植基地进行监测和技术指导服务。</w:t>
            </w:r>
          </w:p>
          <w:p>
            <w:pPr>
              <w:pStyle w:val="null3"/>
              <w:ind w:firstLine="480"/>
            </w:pPr>
            <w:r>
              <w:rPr>
                <w:rFonts w:ascii="宋体" w:hAnsi="宋体" w:cs="宋体" w:eastAsia="宋体"/>
                <w:sz w:val="24"/>
                <w:color w:val="000000"/>
              </w:rPr>
              <w:t>2、生产基地智慧粮田数据监测遥控指挥中心系统</w:t>
            </w:r>
          </w:p>
          <w:p>
            <w:pPr>
              <w:pStyle w:val="null3"/>
              <w:ind w:firstLine="480"/>
            </w:pPr>
            <w:r>
              <w:rPr>
                <w:rFonts w:ascii="宋体" w:hAnsi="宋体" w:cs="宋体" w:eastAsia="宋体"/>
                <w:sz w:val="24"/>
                <w:color w:val="000000"/>
              </w:rPr>
              <w:t>设计建设生产基地智慧粮田数据监测遥控指挥分中心控制室，布置装饰生产园区和生产基地的简介、智能应用、科研育种、市场推广等内容展示，部署安装数字高清数字化展示系统及音视频多媒体系统，指挥中心重点部署【生产基地智慧粮田数据监测遥控指挥平台】集中展示本生产种植基地的各项信息，通过生产基地智慧农业大数据监测指挥中心对农业园区及种植基地进行监测和技术指导服务。</w:t>
            </w:r>
          </w:p>
          <w:p>
            <w:pPr>
              <w:pStyle w:val="null3"/>
              <w:ind w:firstLine="480"/>
            </w:pPr>
            <w:r>
              <w:rPr>
                <w:rFonts w:ascii="宋体" w:hAnsi="宋体" w:cs="宋体" w:eastAsia="宋体"/>
                <w:sz w:val="24"/>
                <w:color w:val="000000"/>
              </w:rPr>
              <w:t>3、临潼区级和生产基地智慧粮田数据监测遥控指挥平台系统</w:t>
            </w:r>
          </w:p>
          <w:p>
            <w:pPr>
              <w:pStyle w:val="null3"/>
              <w:ind w:firstLine="480"/>
            </w:pPr>
            <w:r>
              <w:rPr>
                <w:rFonts w:ascii="宋体" w:hAnsi="宋体" w:cs="宋体" w:eastAsia="宋体"/>
                <w:sz w:val="24"/>
                <w:color w:val="000000"/>
              </w:rPr>
              <w:t>临潼区级智慧粮田数据监测遥控指挥平台功能包括生产企业信息展示、种植基地信息展示、农业数据中心、病虫害信息、遥感视频监控、物联网采集控制系统等功能。生产基地智慧粮田数据监测遥控指挥平台针对种植基地具备小麦</w:t>
            </w:r>
            <w:r>
              <w:rPr>
                <w:rFonts w:ascii="宋体" w:hAnsi="宋体" w:cs="宋体" w:eastAsia="宋体"/>
                <w:sz w:val="24"/>
                <w:color w:val="000000"/>
              </w:rPr>
              <w:t>/玉米生长的测土配肥模型库、小麦/玉米生长模型库、环境调节模型库、病虫害防御库等。功能模块主要包括物联网环境采集与控制系统、农业四情自动监测系统、小麦/玉米养分自动管理系统、农业生产投入品管理系统、病虫害防御监控系统、农业专家诊断平台、农业技术托管服务系统等等。</w:t>
            </w:r>
          </w:p>
          <w:p>
            <w:pPr>
              <w:pStyle w:val="null3"/>
              <w:ind w:firstLine="480"/>
            </w:pPr>
            <w:r>
              <w:rPr>
                <w:rFonts w:ascii="宋体" w:hAnsi="宋体" w:cs="宋体" w:eastAsia="宋体"/>
                <w:sz w:val="24"/>
                <w:color w:val="000000"/>
              </w:rPr>
              <w:t>4、种植基地局部小气候生产环境监测系统</w:t>
            </w:r>
          </w:p>
          <w:p>
            <w:pPr>
              <w:pStyle w:val="null3"/>
              <w:ind w:firstLine="480"/>
            </w:pPr>
            <w:r>
              <w:rPr>
                <w:rFonts w:ascii="宋体" w:hAnsi="宋体" w:cs="宋体" w:eastAsia="宋体"/>
                <w:sz w:val="24"/>
                <w:color w:val="000000"/>
              </w:rPr>
              <w:t>数字种植区局部小气候监测系统，对气候环境进行实施监测，系统</w:t>
            </w:r>
            <w:r>
              <w:rPr>
                <w:rFonts w:ascii="宋体" w:hAnsi="宋体" w:cs="宋体" w:eastAsia="宋体"/>
                <w:sz w:val="24"/>
                <w:color w:val="000000"/>
              </w:rPr>
              <w:t>采用太阳能供电，可以检测风力、风向、光照强度、空气温度、空气</w:t>
            </w:r>
            <w:r>
              <w:rPr>
                <w:rFonts w:ascii="宋体" w:hAnsi="宋体" w:cs="宋体" w:eastAsia="宋体"/>
                <w:sz w:val="24"/>
                <w:color w:val="000000"/>
              </w:rPr>
              <w:t>湿度、降雨量等环境因子参数。</w:t>
            </w:r>
          </w:p>
          <w:p>
            <w:pPr>
              <w:pStyle w:val="null3"/>
              <w:ind w:firstLine="480"/>
            </w:pPr>
            <w:r>
              <w:rPr>
                <w:rFonts w:ascii="宋体" w:hAnsi="宋体" w:cs="宋体" w:eastAsia="宋体"/>
                <w:sz w:val="24"/>
                <w:color w:val="000000"/>
              </w:rPr>
              <w:t>5、种植基地局部土壤墒情环境监测系统</w:t>
            </w:r>
          </w:p>
          <w:p>
            <w:pPr>
              <w:pStyle w:val="null3"/>
              <w:ind w:firstLine="480"/>
            </w:pPr>
            <w:r>
              <w:rPr>
                <w:rFonts w:ascii="宋体" w:hAnsi="宋体" w:cs="宋体" w:eastAsia="宋体"/>
                <w:sz w:val="24"/>
                <w:color w:val="000000"/>
              </w:rPr>
              <w:t>种植基地安卓局部土壤墒情环境监测系统，对土壤环境进行实施监测，</w:t>
            </w:r>
            <w:r>
              <w:rPr>
                <w:rFonts w:ascii="宋体" w:hAnsi="宋体" w:cs="宋体" w:eastAsia="宋体"/>
                <w:sz w:val="24"/>
                <w:color w:val="000000"/>
              </w:rPr>
              <w:t>系统采用太阳能供电，可以检测土壤温度、土壤湿度、土壤电导率养分值、土壤</w:t>
            </w:r>
            <w:r>
              <w:rPr>
                <w:rFonts w:ascii="宋体" w:hAnsi="宋体" w:cs="宋体" w:eastAsia="宋体"/>
                <w:sz w:val="24"/>
                <w:color w:val="000000"/>
              </w:rPr>
              <w:t>PH值、土壤氮磷钾等环境因子参数，指导种植户通过测土配肥模型对小麦/玉米精准灌溉及施肥。</w:t>
            </w:r>
          </w:p>
          <w:p>
            <w:pPr>
              <w:pStyle w:val="null3"/>
              <w:ind w:firstLine="480"/>
            </w:pPr>
            <w:r>
              <w:rPr>
                <w:rFonts w:ascii="宋体" w:hAnsi="宋体" w:cs="宋体" w:eastAsia="宋体"/>
                <w:sz w:val="24"/>
                <w:color w:val="000000"/>
              </w:rPr>
              <w:t>6、远程遥感智能虫情测报系统</w:t>
            </w:r>
          </w:p>
          <w:p>
            <w:pPr>
              <w:pStyle w:val="null3"/>
              <w:ind w:firstLine="480"/>
            </w:pPr>
            <w:r>
              <w:rPr>
                <w:rFonts w:ascii="宋体" w:hAnsi="宋体" w:cs="宋体" w:eastAsia="宋体"/>
                <w:sz w:val="24"/>
                <w:color w:val="000000"/>
              </w:rPr>
              <w:t>种植基地安装远程遥感智能虫情测报系统，对小麦</w:t>
            </w:r>
            <w:r>
              <w:rPr>
                <w:rFonts w:ascii="宋体" w:hAnsi="宋体" w:cs="宋体" w:eastAsia="宋体"/>
                <w:sz w:val="24"/>
                <w:color w:val="000000"/>
              </w:rPr>
              <w:t>/玉米病虫害进行实时监测，与平台系统的病虫害防御库进行AI智能识别分享，协助种植户针对小麦/玉米病变和虫害进行预警防治。</w:t>
            </w:r>
          </w:p>
          <w:p>
            <w:pPr>
              <w:pStyle w:val="null3"/>
              <w:ind w:firstLine="480"/>
            </w:pPr>
            <w:r>
              <w:rPr>
                <w:rFonts w:ascii="宋体" w:hAnsi="宋体" w:cs="宋体" w:eastAsia="宋体"/>
                <w:sz w:val="24"/>
                <w:color w:val="000000"/>
              </w:rPr>
              <w:t>7、远程多光谱物联网太阳能害虫捕杀系统</w:t>
            </w:r>
          </w:p>
          <w:p>
            <w:pPr>
              <w:pStyle w:val="null3"/>
              <w:ind w:firstLine="480"/>
            </w:pPr>
            <w:r>
              <w:rPr>
                <w:rFonts w:ascii="宋体" w:hAnsi="宋体" w:cs="宋体" w:eastAsia="宋体"/>
                <w:sz w:val="24"/>
                <w:color w:val="000000"/>
              </w:rPr>
              <w:t>种植基地安装物联网太阳能害虫捕杀系统，可以通过智能手机或电脑进行远程控制，实现智能化管理。用户可以实时监测害虫的数量、种类和分布情况，并根据数据分析结果优化防控策略，提高防控效果。</w:t>
            </w:r>
          </w:p>
          <w:p>
            <w:pPr>
              <w:pStyle w:val="null3"/>
              <w:ind w:firstLine="480"/>
            </w:pPr>
            <w:r>
              <w:rPr>
                <w:rFonts w:ascii="宋体" w:hAnsi="宋体" w:cs="宋体" w:eastAsia="宋体"/>
                <w:sz w:val="24"/>
                <w:color w:val="000000"/>
              </w:rPr>
              <w:t>8、作物长势遥感视频监测系统</w:t>
            </w:r>
          </w:p>
          <w:p>
            <w:pPr>
              <w:pStyle w:val="null3"/>
              <w:ind w:firstLine="480"/>
            </w:pPr>
            <w:r>
              <w:rPr>
                <w:rFonts w:ascii="宋体" w:hAnsi="宋体" w:cs="宋体" w:eastAsia="宋体"/>
                <w:sz w:val="24"/>
                <w:color w:val="000000"/>
              </w:rPr>
              <w:t>远程了解小麦</w:t>
            </w:r>
            <w:r>
              <w:rPr>
                <w:rFonts w:ascii="宋体" w:hAnsi="宋体" w:cs="宋体" w:eastAsia="宋体"/>
                <w:sz w:val="24"/>
                <w:color w:val="000000"/>
              </w:rPr>
              <w:t>/玉米作物长势情况与变化，制定作物生产管理措施。通过设置后自动拍照将现场拍摄的图片无线发送至监测平台。平台可定 时自动记录每天采集图片，AI智能识别系统根据自动上传的高清照片进行分析，给出预警报告指导种植户精准病虫害防御。</w:t>
            </w:r>
          </w:p>
          <w:p>
            <w:pPr>
              <w:pStyle w:val="null3"/>
              <w:ind w:firstLine="480"/>
            </w:pPr>
            <w:r>
              <w:rPr>
                <w:rFonts w:ascii="宋体" w:hAnsi="宋体" w:cs="宋体" w:eastAsia="宋体"/>
                <w:sz w:val="24"/>
                <w:color w:val="000000"/>
              </w:rPr>
              <w:t>9、生产基地智能无人驾驶拖拉机及配套系统</w:t>
            </w:r>
          </w:p>
          <w:p>
            <w:pPr>
              <w:pStyle w:val="null3"/>
              <w:ind w:firstLine="480"/>
            </w:pPr>
            <w:r>
              <w:rPr>
                <w:rFonts w:ascii="宋体" w:hAnsi="宋体" w:cs="宋体" w:eastAsia="宋体"/>
                <w:sz w:val="24"/>
                <w:color w:val="000000"/>
              </w:rPr>
              <w:t>智能无人驾驶系统通过搭载传感器和智能化控制系统，进行自主导航，能够实现精准作业，避免重复作业和浪费，降低劳动成本，提高生产效率。同时能够自动避免障碍物，确保农业生产过程中的安全。</w:t>
            </w:r>
          </w:p>
          <w:p>
            <w:pPr>
              <w:pStyle w:val="null3"/>
              <w:ind w:firstLine="480"/>
            </w:pPr>
            <w:r>
              <w:rPr>
                <w:rFonts w:ascii="宋体" w:hAnsi="宋体" w:cs="宋体" w:eastAsia="宋体"/>
                <w:sz w:val="24"/>
                <w:color w:val="000000"/>
              </w:rPr>
              <w:t>10、生产基地物联网</w:t>
            </w:r>
            <w:r>
              <w:rPr>
                <w:rFonts w:ascii="宋体" w:hAnsi="宋体" w:cs="宋体" w:eastAsia="宋体"/>
                <w:sz w:val="24"/>
                <w:color w:val="000000"/>
              </w:rPr>
              <w:t>LED显示屏系统</w:t>
            </w:r>
          </w:p>
          <w:p>
            <w:pPr>
              <w:pStyle w:val="null3"/>
              <w:ind w:firstLine="480"/>
            </w:pPr>
            <w:r>
              <w:rPr>
                <w:rFonts w:ascii="宋体" w:hAnsi="宋体" w:cs="宋体" w:eastAsia="宋体"/>
                <w:sz w:val="24"/>
                <w:color w:val="000000"/>
              </w:rPr>
              <w:t>LED显示屏系统可接收生产环境系统所监测到的环境信息，通过固定、滚动、翻屏等方式展示所监测到的环境信息。该系统支持在线可调显示不同基地环境监测数据，并通过传输中心数据信息来控制LED的展示内容。</w:t>
            </w:r>
          </w:p>
        </w:tc>
      </w:tr>
      <w:tr>
        <w:tc>
          <w:tcPr>
            <w:tcW w:type="dxa" w:w="2769"/>
          </w:tcPr>
          <w:p/>
        </w:tc>
        <w:tc>
          <w:tcPr>
            <w:tcW w:type="dxa" w:w="2769"/>
          </w:tcPr>
          <w:p>
            <w:pPr>
              <w:pStyle w:val="null3"/>
            </w:pPr>
            <w:r>
              <w:rPr/>
              <w:t>2</w:t>
            </w:r>
          </w:p>
        </w:tc>
        <w:tc>
          <w:tcPr>
            <w:tcW w:type="dxa" w:w="2769"/>
          </w:tcPr>
          <w:p>
            <w:pPr>
              <w:pStyle w:val="null3"/>
              <w:ind w:firstLine="480"/>
            </w:pPr>
            <w:r>
              <w:rPr>
                <w:rFonts w:ascii="宋体" w:hAnsi="宋体" w:cs="宋体" w:eastAsia="宋体"/>
                <w:sz w:val="24"/>
                <w:color w:val="000000"/>
              </w:rPr>
              <w:t>二、采购内容要求</w:t>
            </w:r>
          </w:p>
          <w:p>
            <w:pPr>
              <w:pStyle w:val="null3"/>
              <w:ind w:firstLine="480"/>
            </w:pPr>
            <w:r>
              <w:rPr>
                <w:rFonts w:ascii="宋体" w:hAnsi="宋体" w:cs="宋体" w:eastAsia="宋体"/>
                <w:sz w:val="24"/>
                <w:color w:val="000000"/>
              </w:rPr>
              <w:t>1</w:t>
            </w:r>
            <w:r>
              <w:rPr>
                <w:rFonts w:ascii="宋体" w:hAnsi="宋体" w:cs="宋体" w:eastAsia="宋体"/>
                <w:sz w:val="24"/>
                <w:color w:val="000000"/>
              </w:rPr>
              <w:t>、临潼区级智慧粮田数据监测遥控指挥中心要求</w:t>
            </w:r>
          </w:p>
          <w:p>
            <w:pPr>
              <w:pStyle w:val="null3"/>
              <w:ind w:firstLine="480"/>
            </w:pPr>
            <w:r>
              <w:rPr>
                <w:rFonts w:ascii="宋体" w:hAnsi="宋体" w:cs="宋体" w:eastAsia="宋体"/>
                <w:sz w:val="24"/>
                <w:color w:val="000000"/>
              </w:rPr>
              <w:t>在农业技术推广中心建设智慧粮田数据监测遥控指挥中心，需要在现有大房间进行布局规划，对房间装饰装修部分宣传展板标语等。安装音视频多媒体系统、操作终端、三联操作台等设备，根据空间尺寸布局数字化高清展示系统。大屏部署【临潼区级智慧粮田数据监测遥控指挥平台】集中展示全区种植区的各项信息，通过临潼区级智慧农业大数据监测指挥中心对全区农业企业及种植基地进行监测和技术指导服务。临潼区级智慧粮田数据监测遥控指挥平台是构建面向空间地图的农业地理信息服务，与物联网、移动互联及大数据技术一起构成项目的主要技术应用。通过地理信息技术应用，实现临潼区农业生产、经营、管理和服务基于地理空间的展示发布和网格化管理，数字管理系统。</w:t>
            </w:r>
          </w:p>
          <w:p>
            <w:pPr>
              <w:pStyle w:val="null3"/>
              <w:ind w:firstLine="480"/>
            </w:pPr>
            <w:r>
              <w:rPr>
                <w:rFonts w:ascii="宋体" w:hAnsi="宋体" w:cs="宋体" w:eastAsia="宋体"/>
                <w:sz w:val="24"/>
                <w:color w:val="000000"/>
              </w:rPr>
              <w:t>2、生产基地智慧粮田数据监测遥控指挥分中心系统</w:t>
            </w:r>
          </w:p>
          <w:p>
            <w:pPr>
              <w:pStyle w:val="null3"/>
              <w:ind w:firstLine="480"/>
            </w:pPr>
            <w:r>
              <w:rPr>
                <w:rFonts w:ascii="宋体" w:hAnsi="宋体" w:cs="宋体" w:eastAsia="宋体"/>
                <w:sz w:val="24"/>
                <w:color w:val="000000"/>
              </w:rPr>
              <w:t>智慧粮田数据监测遥控指挥分中心控制室建设包含钢架构、彩钢板、门窗等控制中心的建造，以及室内的装修，基础施工，电路走线等基础实施。</w:t>
            </w:r>
          </w:p>
          <w:p>
            <w:pPr>
              <w:pStyle w:val="null3"/>
              <w:ind w:firstLine="480"/>
            </w:pPr>
            <w:r>
              <w:rPr>
                <w:rFonts w:ascii="宋体" w:hAnsi="宋体" w:cs="宋体" w:eastAsia="宋体"/>
                <w:sz w:val="24"/>
                <w:color w:val="000000"/>
              </w:rPr>
              <w:t>3</w:t>
            </w:r>
            <w:r>
              <w:rPr>
                <w:rFonts w:ascii="宋体" w:hAnsi="宋体" w:cs="宋体" w:eastAsia="宋体"/>
                <w:sz w:val="24"/>
                <w:color w:val="000000"/>
              </w:rPr>
              <w:t>、临潼区级和生产基地智慧粮田数据监测遥控指挥平台要求</w:t>
            </w:r>
          </w:p>
          <w:p>
            <w:pPr>
              <w:pStyle w:val="null3"/>
              <w:ind w:firstLine="480"/>
            </w:pPr>
            <w:r>
              <w:rPr>
                <w:rFonts w:ascii="宋体" w:hAnsi="宋体" w:cs="宋体" w:eastAsia="宋体"/>
                <w:sz w:val="24"/>
                <w:color w:val="000000"/>
              </w:rPr>
              <w:t>临潼区级智慧粮田数据监测遥控指挥平台核心功能需包括生产企业信息展示、种植基地信息展示、农业数据中心、病虫害信息、遥感视频监控、物联网采集控制系统等功能。针对种植基地具备小麦</w:t>
            </w:r>
            <w:r>
              <w:rPr>
                <w:rFonts w:ascii="宋体" w:hAnsi="宋体" w:cs="宋体" w:eastAsia="宋体"/>
                <w:sz w:val="24"/>
                <w:color w:val="000000"/>
              </w:rPr>
              <w:t>/玉米生长的测土配肥模型库、小麦/玉米生长模型库、环境调节模型库、病虫害防御库等。功能模块主要包括物联网环境采集与控制系统、农业四情自动监测系统、小麦/玉米养分自动管理系统、农业生产投入品管理系统、病虫害防御监控系统、农业专家诊断平台系统等功能版块。</w:t>
            </w:r>
          </w:p>
          <w:p>
            <w:pPr>
              <w:pStyle w:val="null3"/>
              <w:ind w:firstLine="480"/>
            </w:pPr>
            <w:r>
              <w:rPr>
                <w:rFonts w:ascii="宋体" w:hAnsi="宋体" w:cs="宋体" w:eastAsia="宋体"/>
                <w:sz w:val="24"/>
                <w:color w:val="000000"/>
              </w:rPr>
              <w:t>（</w:t>
            </w:r>
            <w:r>
              <w:rPr>
                <w:rFonts w:ascii="宋体" w:hAnsi="宋体" w:cs="宋体" w:eastAsia="宋体"/>
                <w:sz w:val="24"/>
                <w:color w:val="000000"/>
              </w:rPr>
              <w:t>1）物联网数据采集监测系统要求物联网设备数据秒级实时传送，以便捷应用、提升效率为基本建设要求，涵盖所有生产区域所有监测点的环境要素趋势图和实时监测数据列表，极大地方便了用户对于重要信息的快速获取、查看和简要分析。将硬件采集数据转会为可视化的数据、图表等多种形式，管理者在云平台首页、趋势分析页面，即可查看监测区域内实时 的环境监测信息和进行多种方式的统计分析。辅助管理者快速进行生产决策，减少工作时间，提升工作效率；以数字化代替个人经验，提升决策的准备性。</w:t>
            </w:r>
          </w:p>
          <w:p>
            <w:pPr>
              <w:pStyle w:val="null3"/>
              <w:ind w:firstLine="480"/>
            </w:pPr>
            <w:r>
              <w:rPr>
                <w:rFonts w:ascii="宋体" w:hAnsi="宋体" w:cs="宋体" w:eastAsia="宋体"/>
                <w:sz w:val="24"/>
                <w:color w:val="000000"/>
              </w:rPr>
              <w:t>（</w:t>
            </w:r>
            <w:r>
              <w:rPr>
                <w:rFonts w:ascii="宋体" w:hAnsi="宋体" w:cs="宋体" w:eastAsia="宋体"/>
                <w:sz w:val="24"/>
                <w:color w:val="000000"/>
              </w:rPr>
              <w:t>2）病虫害防御系统要求通过搭建在小麦/玉米的智能虫情监测设备，定时采集现场图像，自动上传到远端的物联网监控服务平台，工作人员可随时远程了解小麦/玉米虫情情况与变化，制定防治措施。通过系统设置或远 程设置后自动拍照将现场拍摄的图片无线发送至监测平台，平台自动 记录每天采集数据，形成虫害数据库，可以各种图表、列表形式展现农业专家进行远程诊断。</w:t>
            </w:r>
          </w:p>
          <w:p>
            <w:pPr>
              <w:pStyle w:val="null3"/>
              <w:ind w:firstLine="480"/>
            </w:pPr>
            <w:r>
              <w:rPr>
                <w:rFonts w:ascii="宋体" w:hAnsi="宋体" w:cs="宋体" w:eastAsia="宋体"/>
                <w:sz w:val="24"/>
                <w:color w:val="000000"/>
              </w:rPr>
              <w:t>（</w:t>
            </w:r>
            <w:r>
              <w:rPr>
                <w:rFonts w:ascii="宋体" w:hAnsi="宋体" w:cs="宋体" w:eastAsia="宋体"/>
                <w:sz w:val="24"/>
                <w:color w:val="000000"/>
              </w:rPr>
              <w:t>3）小麦/玉米灾情监测系统要求由高清远红外摄像系统、传输、控制、显示、存储五大部分组成，用户通过视频系统可以清晰直观的实时远程查看小麦/玉米种植区小麦/玉米的生长及病虫害情况，并对突发性异常事件的过程进行及时监视和记忆，用以提供及时高效的指挥和调度。</w:t>
            </w:r>
          </w:p>
          <w:p>
            <w:pPr>
              <w:pStyle w:val="null3"/>
              <w:ind w:firstLine="480"/>
            </w:pPr>
            <w:r>
              <w:rPr>
                <w:rFonts w:ascii="宋体" w:hAnsi="宋体" w:cs="宋体" w:eastAsia="宋体"/>
                <w:sz w:val="24"/>
                <w:color w:val="000000"/>
              </w:rPr>
              <w:t>（</w:t>
            </w:r>
            <w:r>
              <w:rPr>
                <w:rFonts w:ascii="宋体" w:hAnsi="宋体" w:cs="宋体" w:eastAsia="宋体"/>
                <w:sz w:val="24"/>
                <w:color w:val="000000"/>
              </w:rPr>
              <w:t>4）病虫害监测预警子系统要求可根据虫情的可视化、在线实时监测提供支持。对昆虫的发生、发展进行监测分析和预测，为农业现代化提供服务，满足虫情预测预报、采集标本的需要。该预警功能主要对设施内的植物病虫害发生相关的生产履历，环境数据，害虫数据等数据进行分析，构建病虫害发生预警模型进行监测等级预警。依托用户搜索行为数据、微信平台数据、定位数据等，同时有效整合 线下基于物联网的病虫害监测设备数据、气象数据、生产履历数据等，基于海量数据的深度分析和挖掘，建立病虫害发生关联条件预测，开发病虫害大数据预警系统，对病虫害发生进行有效的预警，并生成可视化的专题分析结果，为防治决策提供参考。联合植保专家，开发病虫害专家诊断系统及绿色防控决策支持系统，实现防控信息可追溯，为生产者、消费者、监管者提供农产品质量安全信息服务。</w:t>
            </w:r>
          </w:p>
          <w:p>
            <w:pPr>
              <w:pStyle w:val="null3"/>
              <w:ind w:firstLine="480"/>
            </w:pPr>
            <w:r>
              <w:rPr>
                <w:rFonts w:ascii="宋体" w:hAnsi="宋体" w:cs="宋体" w:eastAsia="宋体"/>
                <w:sz w:val="24"/>
                <w:color w:val="000000"/>
              </w:rPr>
              <w:t>（</w:t>
            </w:r>
            <w:r>
              <w:rPr>
                <w:rFonts w:ascii="宋体" w:hAnsi="宋体" w:cs="宋体" w:eastAsia="宋体"/>
                <w:sz w:val="24"/>
                <w:color w:val="000000"/>
              </w:rPr>
              <w:t>5）土壤养分自动管理系统要求基于肥料田间施用数据，建立土壤养分数据库，根据不同地区土壤条件和作物需求，进行区域性肥料和养分资 源的合理规划配置，为不同地区生产、配置和调拨养分比例及数量适 合当地土壤条件和作物需求的专用肥、复混肥，便于用户采用，以此 提高整个区域内的肥料利用率，缩小区域间肥料用量的贫富悬殊，提 高肥料使用和养分资源管理水平，建设适合农民和农机推广站使用的养分管理系统。</w:t>
            </w:r>
          </w:p>
          <w:p>
            <w:pPr>
              <w:pStyle w:val="null3"/>
              <w:ind w:firstLine="480"/>
            </w:pPr>
            <w:r>
              <w:rPr>
                <w:rFonts w:ascii="宋体" w:hAnsi="宋体" w:cs="宋体" w:eastAsia="宋体"/>
                <w:sz w:val="24"/>
                <w:color w:val="000000"/>
              </w:rPr>
              <w:t>（</w:t>
            </w:r>
            <w:r>
              <w:rPr>
                <w:rFonts w:ascii="宋体" w:hAnsi="宋体" w:cs="宋体" w:eastAsia="宋体"/>
                <w:sz w:val="24"/>
                <w:color w:val="000000"/>
              </w:rPr>
              <w:t>6）农业生产知识库要求根据农业资讯、投入品、病虫害及小麦/玉米种植生产全过程的生产技术指导、专家信息等组成。管理人员可依据形 态特征、生育周期、环境要求、栽培技术等进行科学种植和养护。</w:t>
            </w:r>
          </w:p>
          <w:p>
            <w:pPr>
              <w:pStyle w:val="null3"/>
              <w:ind w:firstLine="480"/>
            </w:pPr>
            <w:r>
              <w:rPr>
                <w:rFonts w:ascii="宋体" w:hAnsi="宋体" w:cs="宋体" w:eastAsia="宋体"/>
                <w:sz w:val="24"/>
                <w:color w:val="000000"/>
              </w:rPr>
              <w:t>（</w:t>
            </w:r>
            <w:r>
              <w:rPr>
                <w:rFonts w:ascii="宋体" w:hAnsi="宋体" w:cs="宋体" w:eastAsia="宋体"/>
                <w:sz w:val="24"/>
                <w:color w:val="000000"/>
              </w:rPr>
              <w:t>7）农情自动监测分析系统要求对种植区“ 四情 ”的监测， 需要多个系统整合数据（气象数据、视频数据等），综合分析。需要通过物联网技术，建立基于全区的气象预报、气象信息分发等。</w:t>
            </w:r>
          </w:p>
          <w:p>
            <w:pPr>
              <w:pStyle w:val="null3"/>
              <w:ind w:firstLine="480"/>
            </w:pPr>
            <w:r>
              <w:rPr>
                <w:rFonts w:ascii="宋体" w:hAnsi="宋体" w:cs="宋体" w:eastAsia="宋体"/>
                <w:sz w:val="24"/>
                <w:color w:val="000000"/>
              </w:rPr>
              <w:t>（</w:t>
            </w:r>
            <w:r>
              <w:rPr>
                <w:rFonts w:ascii="宋体" w:hAnsi="宋体" w:cs="宋体" w:eastAsia="宋体"/>
                <w:sz w:val="24"/>
                <w:color w:val="000000"/>
              </w:rPr>
              <w:t>8）投入品监管系统要求对小麦/玉米生产企业的投入品使用，需要统一录入、 统一监管，严厉禁止企业为了控制成本使用假冒伪劣的投入品。</w:t>
            </w:r>
          </w:p>
          <w:p>
            <w:pPr>
              <w:pStyle w:val="null3"/>
              <w:ind w:firstLine="480"/>
            </w:pPr>
            <w:r>
              <w:rPr>
                <w:rFonts w:ascii="宋体" w:hAnsi="宋体" w:cs="宋体" w:eastAsia="宋体"/>
                <w:sz w:val="24"/>
                <w:color w:val="000000"/>
              </w:rPr>
              <w:t>（</w:t>
            </w:r>
            <w:r>
              <w:rPr>
                <w:rFonts w:ascii="宋体" w:hAnsi="宋体" w:cs="宋体" w:eastAsia="宋体"/>
                <w:sz w:val="24"/>
                <w:color w:val="000000"/>
              </w:rPr>
              <w:t>9）农业技术指导系统要求通过农情农技信息用户可以看到不同农产品，生产的相关技术信息。包括：小麦/玉米作物在生产的不同生长阶段查看对应的种植方法、注意事 项、病虫害防治技术、生产使用农资等信息，指导人们进行科学生产。</w:t>
            </w:r>
          </w:p>
          <w:p>
            <w:pPr>
              <w:pStyle w:val="null3"/>
              <w:ind w:firstLine="480"/>
            </w:pPr>
            <w:r>
              <w:rPr>
                <w:rFonts w:ascii="宋体" w:hAnsi="宋体" w:cs="宋体" w:eastAsia="宋体"/>
                <w:sz w:val="24"/>
                <w:color w:val="000000"/>
              </w:rPr>
              <w:t>4、种植基地局部小气候生产环境监测系统</w:t>
            </w:r>
          </w:p>
          <w:p>
            <w:pPr>
              <w:pStyle w:val="null3"/>
              <w:ind w:firstLine="480"/>
            </w:pPr>
            <w:r>
              <w:rPr>
                <w:rFonts w:ascii="宋体" w:hAnsi="宋体" w:cs="宋体" w:eastAsia="宋体"/>
                <w:sz w:val="24"/>
                <w:color w:val="000000"/>
              </w:rPr>
              <w:t>在种植区安装生长环境监测系统，系统要求可以检测风力、风向、光照强度、空气温度、空气湿度、降雨量等指标参数。系统采取太阳能供电方式，数据传送采用秒级实时上传云平台的方式。软件系统以图形化的界面显示当前指标，系统每隔一段时间刷新一次，使用者可设置刷新时间，当间隔时间足够短时，即实现了实时监测。</w:t>
            </w:r>
          </w:p>
          <w:p>
            <w:pPr>
              <w:pStyle w:val="null3"/>
              <w:ind w:firstLine="480"/>
            </w:pPr>
            <w:r>
              <w:rPr>
                <w:rFonts w:ascii="宋体" w:hAnsi="宋体" w:cs="宋体" w:eastAsia="宋体"/>
                <w:sz w:val="24"/>
                <w:color w:val="000000"/>
              </w:rPr>
              <w:t>5、种植基地局部土壤墒情环境监测系统</w:t>
            </w:r>
          </w:p>
          <w:p>
            <w:pPr>
              <w:pStyle w:val="null3"/>
              <w:ind w:firstLine="480"/>
            </w:pPr>
            <w:r>
              <w:rPr>
                <w:rFonts w:ascii="宋体" w:hAnsi="宋体" w:cs="宋体" w:eastAsia="宋体"/>
                <w:sz w:val="24"/>
                <w:color w:val="000000"/>
              </w:rPr>
              <w:t>物联网局部土壤墒情监测系统要求整合全区种植区土壤的相关数据资料，建立种植区土壤数据库，根据小麦</w:t>
            </w:r>
            <w:r>
              <w:rPr>
                <w:rFonts w:ascii="宋体" w:hAnsi="宋体" w:cs="宋体" w:eastAsia="宋体"/>
                <w:sz w:val="24"/>
                <w:color w:val="000000"/>
              </w:rPr>
              <w:t>/玉米生产、资源可持续利用和和生态环境保护建设需求，进行数据资源开发利用模型研究建立，进行果园质量监测评价、土壤养分丰缺状况分析和培肥方案制定、推荐测土施肥配方、评估土壤污染状况和污染土壤治理提供信息基础、监测预警和决策支持。要求实时监测种植区的土壤温度、土壤水分含量、土壤墒情、土壤氮磷钾含量等数据。软件系统以图形化 的界面显示当前指标，系统每隔一段时间刷新一次，使用者可设置刷新时间，当间隔时间足够短时，即实现了实时监测。</w:t>
            </w:r>
          </w:p>
          <w:p>
            <w:pPr>
              <w:pStyle w:val="null3"/>
              <w:ind w:firstLine="480"/>
            </w:pPr>
            <w:r>
              <w:rPr>
                <w:rFonts w:ascii="宋体" w:hAnsi="宋体" w:cs="宋体" w:eastAsia="宋体"/>
                <w:sz w:val="24"/>
                <w:color w:val="000000"/>
              </w:rPr>
              <w:t>6、远程遥感智能虫情测报系统</w:t>
            </w:r>
          </w:p>
          <w:p>
            <w:pPr>
              <w:pStyle w:val="null3"/>
              <w:ind w:firstLine="480"/>
            </w:pPr>
            <w:r>
              <w:rPr>
                <w:rFonts w:ascii="宋体" w:hAnsi="宋体" w:cs="宋体" w:eastAsia="宋体"/>
                <w:sz w:val="24"/>
                <w:color w:val="000000"/>
              </w:rPr>
              <w:t>远程遥感智能虫情测报系统要求利用现代光、电、数控技术、无线传输技术、互联网技术、构建出一套害虫生态监测及预警系统。该系统集害虫诱捕和拍照、</w:t>
            </w:r>
            <w:r>
              <w:rPr>
                <w:rFonts w:ascii="宋体" w:hAnsi="宋体" w:cs="宋体" w:eastAsia="宋体"/>
                <w:sz w:val="24"/>
                <w:color w:val="000000"/>
              </w:rPr>
              <w:t>环境信息采集、数据传输、数据分析于一体，实现了害虫的诱集、分类统计、实时报传、远程监测、虫害预警和防治指导的自动化、智能化。</w:t>
            </w:r>
          </w:p>
          <w:p>
            <w:pPr>
              <w:pStyle w:val="null3"/>
              <w:ind w:firstLine="480"/>
            </w:pPr>
            <w:r>
              <w:rPr>
                <w:rFonts w:ascii="宋体" w:hAnsi="宋体" w:cs="宋体" w:eastAsia="宋体"/>
                <w:sz w:val="24"/>
                <w:color w:val="000000"/>
              </w:rPr>
              <w:t>7、远程多光谱物联网太阳能害虫捕杀系统</w:t>
            </w:r>
          </w:p>
          <w:p>
            <w:pPr>
              <w:pStyle w:val="null3"/>
              <w:ind w:firstLine="480"/>
            </w:pPr>
            <w:r>
              <w:rPr>
                <w:rFonts w:ascii="宋体" w:hAnsi="宋体" w:cs="宋体" w:eastAsia="宋体"/>
                <w:sz w:val="24"/>
                <w:color w:val="000000"/>
              </w:rPr>
              <w:t>多光谱太阳能害虫捕杀系统要求利用太阳能电池板作为用电来源，其将白天太阳能发的电贮存起来，晚上放电物理杀虫灯具，供其工作。无需市电，不用挖沟拉线，天黑灯亮，天亮灯熄，并且对人畜安全。</w:t>
            </w:r>
          </w:p>
          <w:p>
            <w:pPr>
              <w:pStyle w:val="null3"/>
              <w:ind w:firstLine="480"/>
            </w:pPr>
            <w:r>
              <w:rPr>
                <w:rFonts w:ascii="宋体" w:hAnsi="宋体" w:cs="宋体" w:eastAsia="宋体"/>
                <w:sz w:val="24"/>
                <w:color w:val="000000"/>
              </w:rPr>
              <w:t>8、作物长势遥感视频监测站</w:t>
            </w:r>
          </w:p>
          <w:p>
            <w:pPr>
              <w:pStyle w:val="null3"/>
              <w:ind w:firstLine="480"/>
            </w:pPr>
            <w:r>
              <w:rPr>
                <w:rFonts w:ascii="宋体" w:hAnsi="宋体" w:cs="宋体" w:eastAsia="宋体"/>
                <w:sz w:val="24"/>
                <w:color w:val="000000"/>
              </w:rPr>
              <w:t>在农业种植园区部署高清智能小麦</w:t>
            </w:r>
            <w:r>
              <w:rPr>
                <w:rFonts w:ascii="宋体" w:hAnsi="宋体" w:cs="宋体" w:eastAsia="宋体"/>
                <w:sz w:val="24"/>
                <w:color w:val="000000"/>
              </w:rPr>
              <w:t>/玉米长势遥感视频监控系统，要求对区域进行实时的遥感视频监测。帮助农业企业进行生产管理，建立起完善的标准化生产、作业规范，提升生产管理效益。同时，作物长势遥感视频要通过平台溯源系统向公众展出基地环境信息。</w:t>
            </w:r>
          </w:p>
          <w:p>
            <w:pPr>
              <w:pStyle w:val="null3"/>
              <w:ind w:firstLine="480"/>
            </w:pPr>
            <w:r>
              <w:rPr>
                <w:rFonts w:ascii="宋体" w:hAnsi="宋体" w:cs="宋体" w:eastAsia="宋体"/>
                <w:sz w:val="24"/>
                <w:color w:val="000000"/>
              </w:rPr>
              <w:t>9、生产基地物联网LED显示屏系统</w:t>
            </w:r>
          </w:p>
          <w:p>
            <w:pPr>
              <w:pStyle w:val="null3"/>
              <w:ind w:firstLine="480"/>
            </w:pPr>
            <w:r>
              <w:rPr>
                <w:rFonts w:ascii="宋体" w:hAnsi="宋体" w:cs="宋体" w:eastAsia="宋体"/>
                <w:sz w:val="24"/>
                <w:color w:val="000000"/>
              </w:rPr>
              <w:t>生产基地物联网</w:t>
            </w:r>
            <w:r>
              <w:rPr>
                <w:rFonts w:ascii="宋体" w:hAnsi="宋体" w:cs="宋体" w:eastAsia="宋体"/>
                <w:sz w:val="24"/>
                <w:color w:val="000000"/>
              </w:rPr>
              <w:t>LED显示屏系统要求无线远程实时显示监测终端所采集的环境信息，支持无线远程异地安装、在线可调显示不同基地环境监测数据，支持现有2/3/4G通信自适应模式，可扩展升级LoRa、Zigbee、NO-IoT/5G等制式数据传送，设备支持远程控制和升级存储功能，支持无线远程接收采集的环境数据。支持断点续传、远程升级，显示刷新频率不低于30秒，支持远程自定义实时显示内容，可固定、滚动、翻屏等方式显示环境指标、不低于三行显示内容，支持户外和户内安装，支持防雨、防尘、防雷。支持立杆上安装，尺寸不小于65*50cm。</w:t>
            </w:r>
          </w:p>
          <w:p>
            <w:pPr>
              <w:pStyle w:val="null3"/>
              <w:ind w:firstLine="480"/>
            </w:pPr>
            <w:r>
              <w:rPr>
                <w:rFonts w:ascii="宋体" w:hAnsi="宋体" w:cs="宋体" w:eastAsia="宋体"/>
                <w:sz w:val="24"/>
                <w:color w:val="000000"/>
              </w:rPr>
              <w:t>10、生产基地智能无人驾驶拖拉机及配套系统</w:t>
            </w:r>
          </w:p>
          <w:p>
            <w:pPr>
              <w:pStyle w:val="null3"/>
              <w:ind w:firstLine="480"/>
            </w:pPr>
            <w:r>
              <w:rPr>
                <w:rFonts w:ascii="宋体" w:hAnsi="宋体" w:cs="宋体" w:eastAsia="宋体"/>
                <w:sz w:val="24"/>
                <w:color w:val="000000"/>
              </w:rPr>
              <w:t>智能无人驾驶系统可支持自动控制油门；支持自动电控换向；支持机具自动升降</w:t>
            </w:r>
            <w:r>
              <w:rPr>
                <w:rFonts w:ascii="宋体" w:hAnsi="宋体" w:cs="宋体" w:eastAsia="宋体"/>
                <w:sz w:val="24"/>
                <w:color w:val="000000"/>
              </w:rPr>
              <w:t>;支持遥控点火/熄火;支持远程遥控;支持人工驾驶优先、遥控优先;支持云平台下发作业;支持前向行驶避障停车。</w:t>
            </w:r>
          </w:p>
        </w:tc>
      </w:tr>
      <w:tr>
        <w:tc>
          <w:tcPr>
            <w:tcW w:type="dxa" w:w="2769"/>
          </w:tcPr>
          <w:p>
            <w:pPr>
              <w:pStyle w:val="null3"/>
            </w:pPr>
            <w:r>
              <w:rPr/>
              <w:t>★</w:t>
            </w:r>
          </w:p>
        </w:tc>
        <w:tc>
          <w:tcPr>
            <w:tcW w:type="dxa" w:w="2769"/>
          </w:tcPr>
          <w:p>
            <w:pPr>
              <w:pStyle w:val="null3"/>
            </w:pPr>
            <w:r>
              <w:rPr/>
              <w:t>3</w:t>
            </w:r>
          </w:p>
        </w:tc>
        <w:tc>
          <w:tcPr>
            <w:tcW w:type="dxa" w:w="2769"/>
          </w:tcPr>
          <w:p>
            <w:pPr>
              <w:pStyle w:val="null3"/>
              <w:ind w:firstLine="480"/>
            </w:pPr>
            <w:r>
              <w:rPr>
                <w:rFonts w:ascii="宋体" w:hAnsi="宋体" w:cs="宋体" w:eastAsia="宋体"/>
                <w:sz w:val="24"/>
                <w:color w:val="000000"/>
              </w:rPr>
              <w:t>三</w:t>
            </w:r>
            <w:r>
              <w:rPr>
                <w:rFonts w:ascii="宋体" w:hAnsi="宋体" w:cs="宋体" w:eastAsia="宋体"/>
                <w:sz w:val="24"/>
                <w:color w:val="000000"/>
              </w:rPr>
              <w:t>、货物采购清单</w:t>
            </w:r>
          </w:p>
          <w:p>
            <w:pPr>
              <w:pStyle w:val="null3"/>
              <w:ind w:firstLine="480"/>
            </w:pPr>
            <w:r>
              <w:rPr>
                <w:rFonts w:ascii="宋体" w:hAnsi="宋体" w:cs="宋体" w:eastAsia="宋体"/>
                <w:sz w:val="24"/>
                <w:color w:val="000000"/>
              </w:rPr>
              <w:t>1、智慧粮田数据监测遥控指挥中心</w:t>
            </w:r>
          </w:p>
          <w:tbl>
            <w:tblPr>
              <w:tblBorders>
                <w:top w:val="none" w:color="000000" w:sz="4"/>
                <w:left w:val="none" w:color="000000" w:sz="4"/>
                <w:bottom w:val="none" w:color="000000" w:sz="4"/>
                <w:right w:val="none" w:color="000000" w:sz="4"/>
                <w:insideH w:val="none"/>
                <w:insideV w:val="none"/>
              </w:tblBorders>
            </w:tblPr>
            <w:tblGrid>
              <w:gridCol w:w="149"/>
              <w:gridCol w:w="464"/>
              <w:gridCol w:w="1641"/>
              <w:gridCol w:w="149"/>
              <w:gridCol w:w="149"/>
            </w:tblGrid>
            <w:tr>
              <w:tc>
                <w:tcPr>
                  <w:tcW w:type="dxa" w:w="149"/>
                  <w:tcBorders>
                    <w:top w:val="single" w:color="000000" w:sz="4"/>
                    <w:left w:val="single" w:color="000000" w:sz="4"/>
                    <w:bottom w:val="single" w:color="000000" w:sz="4"/>
                    <w:right w:val="single" w:color="000000" w:sz="4"/>
                  </w:tcBorders>
                  <w:shd w:fill="92D050"/>
                  <w:tcMar>
                    <w:top w:type="dxa" w:w="0"/>
                    <w:left w:type="dxa" w:w="105"/>
                    <w:bottom w:type="dxa" w:w="0"/>
                    <w:right w:type="dxa" w:w="105"/>
                  </w:tcMar>
                  <w:vAlign w:val="top"/>
                </w:tcPr>
                <w:p>
                  <w:pPr>
                    <w:pStyle w:val="null3"/>
                    <w:jc w:val="center"/>
                  </w:pPr>
                  <w:r>
                    <w:rPr>
                      <w:rFonts w:ascii="宋体" w:hAnsi="宋体" w:cs="宋体" w:eastAsia="宋体"/>
                      <w:sz w:val="24"/>
                      <w:color w:val="000000"/>
                    </w:rPr>
                    <w:t>序号</w:t>
                  </w:r>
                </w:p>
              </w:tc>
              <w:tc>
                <w:tcPr>
                  <w:tcW w:type="dxa" w:w="464"/>
                  <w:tcBorders>
                    <w:top w:val="single" w:color="000000" w:sz="4"/>
                    <w:left w:val="single" w:color="000000" w:sz="4"/>
                    <w:bottom w:val="single" w:color="000000" w:sz="4"/>
                    <w:right w:val="single" w:color="000000" w:sz="4"/>
                  </w:tcBorders>
                  <w:shd w:fill="92D050"/>
                  <w:tcMar>
                    <w:top w:type="dxa" w:w="0"/>
                    <w:left w:type="dxa" w:w="105"/>
                    <w:bottom w:type="dxa" w:w="0"/>
                    <w:right w:type="dxa" w:w="105"/>
                  </w:tcMar>
                  <w:vAlign w:val="top"/>
                </w:tcPr>
                <w:p>
                  <w:pPr>
                    <w:pStyle w:val="null3"/>
                    <w:jc w:val="center"/>
                  </w:pPr>
                  <w:r>
                    <w:rPr>
                      <w:rFonts w:ascii="宋体" w:hAnsi="宋体" w:cs="宋体" w:eastAsia="宋体"/>
                      <w:sz w:val="24"/>
                      <w:color w:val="000000"/>
                    </w:rPr>
                    <w:t>分项目名称</w:t>
                  </w:r>
                </w:p>
              </w:tc>
              <w:tc>
                <w:tcPr>
                  <w:tcW w:type="dxa" w:w="1641"/>
                  <w:tcBorders>
                    <w:top w:val="single" w:color="000000" w:sz="4"/>
                    <w:left w:val="single" w:color="000000" w:sz="4"/>
                    <w:bottom w:val="single" w:color="000000" w:sz="4"/>
                    <w:right w:val="single" w:color="000000" w:sz="4"/>
                  </w:tcBorders>
                  <w:shd w:fill="92D050"/>
                  <w:tcMar>
                    <w:top w:type="dxa" w:w="0"/>
                    <w:left w:type="dxa" w:w="105"/>
                    <w:bottom w:type="dxa" w:w="0"/>
                    <w:right w:type="dxa" w:w="105"/>
                  </w:tcMar>
                  <w:vAlign w:val="top"/>
                </w:tcPr>
                <w:p>
                  <w:pPr>
                    <w:pStyle w:val="null3"/>
                    <w:jc w:val="center"/>
                  </w:pPr>
                  <w:r>
                    <w:rPr>
                      <w:rFonts w:ascii="宋体" w:hAnsi="宋体" w:cs="宋体" w:eastAsia="宋体"/>
                      <w:sz w:val="24"/>
                      <w:color w:val="000000"/>
                    </w:rPr>
                    <w:t>规格参数</w:t>
                  </w:r>
                </w:p>
              </w:tc>
              <w:tc>
                <w:tcPr>
                  <w:tcW w:type="dxa" w:w="149"/>
                  <w:tcBorders>
                    <w:top w:val="single" w:color="000000" w:sz="4"/>
                    <w:left w:val="single" w:color="000000" w:sz="4"/>
                    <w:bottom w:val="single" w:color="000000" w:sz="4"/>
                    <w:right w:val="single" w:color="000000" w:sz="4"/>
                  </w:tcBorders>
                  <w:shd w:fill="92D050"/>
                  <w:tcMar>
                    <w:top w:type="dxa" w:w="0"/>
                    <w:left w:type="dxa" w:w="105"/>
                    <w:bottom w:type="dxa" w:w="0"/>
                    <w:right w:type="dxa" w:w="105"/>
                  </w:tcMar>
                  <w:vAlign w:val="top"/>
                </w:tcPr>
                <w:p>
                  <w:pPr>
                    <w:pStyle w:val="null3"/>
                    <w:jc w:val="center"/>
                  </w:pPr>
                  <w:r>
                    <w:rPr>
                      <w:rFonts w:ascii="宋体" w:hAnsi="宋体" w:cs="宋体" w:eastAsia="宋体"/>
                      <w:sz w:val="24"/>
                      <w:color w:val="000000"/>
                    </w:rPr>
                    <w:t>数量</w:t>
                  </w:r>
                </w:p>
              </w:tc>
              <w:tc>
                <w:tcPr>
                  <w:tcW w:type="dxa" w:w="149"/>
                  <w:tcBorders>
                    <w:top w:val="single" w:color="000000" w:sz="4"/>
                    <w:left w:val="single" w:color="000000" w:sz="4"/>
                    <w:bottom w:val="single" w:color="000000" w:sz="4"/>
                    <w:right w:val="single" w:color="000000" w:sz="4"/>
                  </w:tcBorders>
                  <w:shd w:fill="92D050"/>
                  <w:tcMar>
                    <w:top w:type="dxa" w:w="0"/>
                    <w:left w:type="dxa" w:w="105"/>
                    <w:bottom w:type="dxa" w:w="0"/>
                    <w:right w:type="dxa" w:w="105"/>
                  </w:tcMar>
                  <w:vAlign w:val="top"/>
                </w:tcPr>
                <w:p>
                  <w:pPr>
                    <w:pStyle w:val="null3"/>
                    <w:jc w:val="center"/>
                  </w:pPr>
                  <w:r>
                    <w:rPr>
                      <w:rFonts w:ascii="宋体" w:hAnsi="宋体" w:cs="宋体" w:eastAsia="宋体"/>
                      <w:sz w:val="24"/>
                      <w:color w:val="000000"/>
                    </w:rPr>
                    <w:t>单位</w:t>
                  </w:r>
                </w:p>
              </w:tc>
            </w:tr>
            <w:tr>
              <w:tc>
                <w:tcPr>
                  <w:tcW w:type="dxa" w:w="2552"/>
                  <w:gridSpan w:val="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pPr>
                  <w:r>
                    <w:rPr>
                      <w:rFonts w:ascii="宋体" w:hAnsi="宋体" w:cs="宋体" w:eastAsia="宋体"/>
                      <w:sz w:val="24"/>
                      <w:color w:val="000000"/>
                    </w:rPr>
                    <w:t>（一）临潼区级智慧粮田数据监测遥控指挥中心</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临潼区级智慧粮田数据监测遥控指挥平台</w:t>
                  </w:r>
                </w:p>
              </w:tc>
              <w:tc>
                <w:tcPr>
                  <w:tcW w:type="dxa" w:w="1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临潼区级智慧粮田数据监测遥控指挥平台提供基于云端的软件平台服务，包括网页、</w:t>
                  </w:r>
                  <w:r>
                    <w:rPr>
                      <w:rFonts w:ascii="宋体" w:hAnsi="宋体" w:cs="宋体" w:eastAsia="宋体"/>
                      <w:sz w:val="24"/>
                      <w:color w:val="000000"/>
                    </w:rPr>
                    <w:t>Android手机APP、物联网接入服务等。实现：</w:t>
                  </w:r>
                  <w:r>
                    <w:br/>
                  </w:r>
                  <w:r>
                    <w:rPr>
                      <w:rFonts w:ascii="宋体" w:hAnsi="宋体" w:cs="宋体" w:eastAsia="宋体"/>
                      <w:sz w:val="24"/>
                      <w:color w:val="000000"/>
                    </w:rPr>
                    <w:t>1、智慧农业驾驶舱：实现农产品从生产过程追溯，方便农产品安全监管；通过对农产品生产过程的采集，进行大数据的挖掘分析，实现对农业产业结构调整、决策支持。</w:t>
                  </w:r>
                  <w:r>
                    <w:br/>
                  </w:r>
                  <w:r>
                    <w:rPr>
                      <w:rFonts w:ascii="宋体" w:hAnsi="宋体" w:cs="宋体" w:eastAsia="宋体"/>
                      <w:sz w:val="24"/>
                      <w:color w:val="000000"/>
                    </w:rPr>
                    <w:t>系统平台总体包括：</w:t>
                  </w:r>
                  <w:r>
                    <w:br/>
                  </w:r>
                  <w:r>
                    <w:rPr>
                      <w:rFonts w:ascii="宋体" w:hAnsi="宋体" w:cs="宋体" w:eastAsia="宋体"/>
                      <w:sz w:val="24"/>
                      <w:color w:val="000000"/>
                    </w:rPr>
                    <w:t>1）产业园区管理平台：全过程数字化的农业生产管理系统。</w:t>
                  </w:r>
                  <w:r>
                    <w:br/>
                  </w:r>
                  <w:r>
                    <w:rPr>
                      <w:rFonts w:ascii="宋体" w:hAnsi="宋体" w:cs="宋体" w:eastAsia="宋体"/>
                      <w:sz w:val="24"/>
                      <w:color w:val="000000"/>
                    </w:rPr>
                    <w:t>★2）物联网监测管理系统：实时的农业环境信息监测、预警、管理与统计分析。</w:t>
                  </w:r>
                  <w:r>
                    <w:br/>
                  </w:r>
                  <w:r>
                    <w:rPr>
                      <w:rFonts w:ascii="宋体" w:hAnsi="宋体" w:cs="宋体" w:eastAsia="宋体"/>
                      <w:sz w:val="24"/>
                      <w:color w:val="000000"/>
                    </w:rPr>
                    <w:t>★3）大数据监测分析系统：所见即所得的远程设施监测分析、智能控制管理。</w:t>
                  </w:r>
                  <w:r>
                    <w:br/>
                  </w:r>
                  <w:r>
                    <w:rPr>
                      <w:rFonts w:ascii="宋体" w:hAnsi="宋体" w:cs="宋体" w:eastAsia="宋体"/>
                      <w:sz w:val="24"/>
                      <w:color w:val="000000"/>
                    </w:rPr>
                    <w:t>★4）病虫害防治监测库：通过物理防治（电、磁、声等）和生物防治（生物链、生物特性）手段杀死作物病害。科技农病虫害预警系统采用通过图像识别算法，匹配大量病虫害图库，预警防治。</w:t>
                  </w:r>
                  <w:r>
                    <w:br/>
                  </w:r>
                  <w:r>
                    <w:rPr>
                      <w:rFonts w:ascii="宋体" w:hAnsi="宋体" w:cs="宋体" w:eastAsia="宋体"/>
                      <w:sz w:val="24"/>
                      <w:color w:val="000000"/>
                    </w:rPr>
                    <w:t>★5）农业专家诊断平台：系统专家为农业方面各个领域的专家，专家提供相应的农事相关种植、养殖等相关技术，指导人们进行科学有效的生产管理。</w:t>
                  </w:r>
                  <w:r>
                    <w:br/>
                  </w:r>
                  <w:r>
                    <w:rPr>
                      <w:rFonts w:ascii="宋体" w:hAnsi="宋体" w:cs="宋体" w:eastAsia="宋体"/>
                      <w:sz w:val="24"/>
                      <w:color w:val="000000"/>
                    </w:rPr>
                    <w:t>2.系统管理平台：多用户管理、用户权限角色管理；基地、用户、设备等各种系统管理设置功能。</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数字高清展示系统</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液晶拼接单元（最终按实际现场）</w:t>
                  </w:r>
                  <w:r>
                    <w:br/>
                  </w:r>
                  <w:r>
                    <w:rPr>
                      <w:rFonts w:ascii="宋体" w:hAnsi="宋体" w:cs="宋体" w:eastAsia="宋体"/>
                      <w:sz w:val="24"/>
                      <w:color w:val="000000"/>
                    </w:rPr>
                    <w:t>1.类型：液晶模组DID；</w:t>
                  </w:r>
                  <w:r>
                    <w:br/>
                  </w:r>
                  <w:r>
                    <w:rPr>
                      <w:rFonts w:ascii="宋体" w:hAnsi="宋体" w:cs="宋体" w:eastAsia="宋体"/>
                      <w:sz w:val="24"/>
                      <w:color w:val="000000"/>
                    </w:rPr>
                    <w:t>2.输入输出端口：1路CVBS，接口为BNC座子,1路VGA、1路DVI、1路HDMI、1路USB程序升级、1路RJ45，RS232控制信号环入端口、红外接入转换接口（接口类型RJ45）、2路RJ45，RS232控制信号环出端口；</w:t>
                  </w:r>
                  <w:r>
                    <w:br/>
                  </w:r>
                  <w:r>
                    <w:rPr>
                      <w:rFonts w:ascii="宋体" w:hAnsi="宋体" w:cs="宋体" w:eastAsia="宋体"/>
                      <w:sz w:val="24"/>
                      <w:color w:val="000000"/>
                    </w:rPr>
                    <w:t>★3.视频特性：3D数字梳状滤波器、3D图像运动降噪、3D运动自适应梳状滤波器等；</w:t>
                  </w:r>
                  <w:r>
                    <w:br/>
                  </w:r>
                  <w:r>
                    <w:rPr>
                      <w:rFonts w:ascii="宋体" w:hAnsi="宋体" w:cs="宋体" w:eastAsia="宋体"/>
                      <w:sz w:val="24"/>
                      <w:color w:val="000000"/>
                    </w:rPr>
                    <w:t>4.4K超高清完美嵌入式结构设计，方便维护，支持365天24小时不间断工作，具有信号加强功能，色彩无偏差，温控风扇低音降噪；</w:t>
                  </w:r>
                  <w:r>
                    <w:br/>
                  </w:r>
                  <w:r>
                    <w:rPr>
                      <w:rFonts w:ascii="宋体" w:hAnsi="宋体" w:cs="宋体" w:eastAsia="宋体"/>
                      <w:sz w:val="24"/>
                      <w:color w:val="000000"/>
                    </w:rPr>
                    <w:t xml:space="preserve">5.支持最大分辨率:3840*2160，清晰度提高，画面同步性基本达到100%； </w:t>
                  </w:r>
                  <w:r>
                    <w:br/>
                  </w:r>
                  <w:r>
                    <w:rPr>
                      <w:rFonts w:ascii="宋体" w:hAnsi="宋体" w:cs="宋体" w:eastAsia="宋体"/>
                      <w:sz w:val="24"/>
                      <w:color w:val="000000"/>
                    </w:rPr>
                    <w:t>6.处理盒组成:电源板、4K拼接板；</w:t>
                  </w:r>
                  <w:r>
                    <w:br/>
                  </w:r>
                  <w:r>
                    <w:rPr>
                      <w:rFonts w:ascii="宋体" w:hAnsi="宋体" w:cs="宋体" w:eastAsia="宋体"/>
                      <w:sz w:val="24"/>
                      <w:color w:val="000000"/>
                    </w:rPr>
                    <w:t>7.内置图像拼接处理器,视频信号输入；</w:t>
                  </w:r>
                  <w:r>
                    <w:br/>
                  </w:r>
                  <w:r>
                    <w:rPr>
                      <w:rFonts w:ascii="宋体" w:hAnsi="宋体" w:cs="宋体" w:eastAsia="宋体"/>
                      <w:sz w:val="24"/>
                      <w:color w:val="000000"/>
                    </w:rPr>
                    <w:t>8.CVBS× 2,VGA信号输入 VGA× 1,DVI数字信号输入 DVI× 1,HDMI信号输入HDMI× 1,RS-232控制输入RJ45× 1,RS-232控制环出,RJ45× 2；</w:t>
                  </w:r>
                  <w:r>
                    <w:br/>
                  </w:r>
                  <w:r>
                    <w:rPr>
                      <w:rFonts w:ascii="宋体" w:hAnsi="宋体" w:cs="宋体" w:eastAsia="宋体"/>
                      <w:sz w:val="24"/>
                      <w:color w:val="000000"/>
                    </w:rPr>
                    <w:t xml:space="preserve"> </w:t>
                  </w:r>
                  <w:r>
                    <w:rPr>
                      <w:rFonts w:ascii="宋体" w:hAnsi="宋体" w:cs="宋体" w:eastAsia="宋体"/>
                      <w:sz w:val="24"/>
                      <w:color w:val="000000"/>
                    </w:rPr>
                    <w:t>USB/ISP信号输入× 1（USB 烧录、智能升级功能）；</w:t>
                  </w:r>
                  <w:r>
                    <w:br/>
                  </w:r>
                  <w:r>
                    <w:rPr>
                      <w:rFonts w:ascii="宋体" w:hAnsi="宋体" w:cs="宋体" w:eastAsia="宋体"/>
                      <w:sz w:val="24"/>
                      <w:color w:val="000000"/>
                    </w:rPr>
                    <w:t>9.环保节能产品，待机功耗需小于0.5W</w:t>
                  </w:r>
                  <w:r>
                    <w:br/>
                  </w:r>
                  <w:r>
                    <w:rPr>
                      <w:rFonts w:ascii="宋体" w:hAnsi="宋体" w:cs="宋体" w:eastAsia="宋体"/>
                      <w:sz w:val="24"/>
                      <w:color w:val="000000"/>
                    </w:rPr>
                    <w:t>10.支持3840*2160分辨率下的同步功能；</w:t>
                  </w:r>
                  <w:r>
                    <w:br/>
                  </w:r>
                  <w:r>
                    <w:rPr>
                      <w:rFonts w:ascii="宋体" w:hAnsi="宋体" w:cs="宋体" w:eastAsia="宋体"/>
                      <w:sz w:val="24"/>
                      <w:color w:val="000000"/>
                    </w:rPr>
                    <w:t>★11.◎控制软件具有智能多阶、多模式色差调整功能；</w:t>
                  </w:r>
                  <w:r>
                    <w:br/>
                  </w:r>
                  <w:r>
                    <w:rPr>
                      <w:rFonts w:ascii="宋体" w:hAnsi="宋体" w:cs="宋体" w:eastAsia="宋体"/>
                      <w:sz w:val="24"/>
                      <w:color w:val="000000"/>
                    </w:rPr>
                    <w:t>12.◎具有3D降噪、3D滤波、3D去隔行功能；</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音视频多媒体系统</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包含套装音响，一拖二会议麦克风，音响支架等辅材</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4</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系统超控服务终端</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I5处理器16G内存2T硬盘（含显示器）</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5</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高速数据交互主机</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16口高速数据交互主机</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6</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多功能指挥操作台</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模块设计，多工位组合，可定制任意尺寸。框架：优质宝钢冷轧钢板，整板折弯成型，结构紧固，拼装。钢板表面经过打砂、脱脂、酸洗、磷化、防静电喷塑处理。颜色可选。台面：采用</w:t>
                  </w:r>
                  <w:r>
                    <w:rPr>
                      <w:rFonts w:ascii="宋体" w:hAnsi="宋体" w:cs="宋体" w:eastAsia="宋体"/>
                      <w:sz w:val="24"/>
                      <w:color w:val="000000"/>
                    </w:rPr>
                    <w:t>25MM环保颗粒板，可选防火板／烤漆／抗倍特板，符合E1级环保标准。采用25MM环保颗粒板，符合E1级环保标准。背板：采用2. 0MM厚度国产优质铝合金型材侧板：屏风为进口亚克力板，带多色光源。</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2254"/>
                  <w:gridSpan w:val="3"/>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pPr>
                  <w:r>
                    <w:rPr>
                      <w:rFonts w:ascii="宋体" w:hAnsi="宋体" w:cs="宋体" w:eastAsia="宋体"/>
                      <w:sz w:val="24"/>
                      <w:color w:val="000000"/>
                    </w:rPr>
                    <w:t>（二）其他</w:t>
                  </w:r>
                </w:p>
              </w:tc>
              <w:tc>
                <w:tcPr>
                  <w:tcW w:type="dxa" w:w="149"/>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p>
              </w:tc>
              <w:tc>
                <w:tcPr>
                  <w:tcW w:type="dxa" w:w="149"/>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云计算服务系统租赁运维</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云计算服务系统数据资源租赁运维服务</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年</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数据采集终端运维</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数据采集终端运维服务</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年</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系统实施服务</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现场规划勘察、设备运输、设备搬运、场地基础处理、设备安装、配套附件、系统联调、平台上线等服务费用</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项</w:t>
                  </w:r>
                </w:p>
              </w:tc>
            </w:tr>
          </w:tbl>
          <w:p>
            <w:pPr>
              <w:pStyle w:val="null3"/>
              <w:ind w:firstLine="480"/>
            </w:pPr>
            <w:r>
              <w:rPr>
                <w:rFonts w:ascii="宋体" w:hAnsi="宋体" w:cs="宋体" w:eastAsia="宋体"/>
                <w:sz w:val="24"/>
                <w:color w:val="000000"/>
              </w:rPr>
              <w:t>2、智慧粮田示范基地</w:t>
            </w:r>
          </w:p>
          <w:tbl>
            <w:tblPr>
              <w:tblBorders>
                <w:top w:val="none" w:color="000000" w:sz="4"/>
                <w:left w:val="none" w:color="000000" w:sz="4"/>
                <w:bottom w:val="none" w:color="000000" w:sz="4"/>
                <w:right w:val="none" w:color="000000" w:sz="4"/>
                <w:insideH w:val="none"/>
                <w:insideV w:val="none"/>
              </w:tblBorders>
            </w:tblPr>
            <w:tblGrid>
              <w:gridCol w:w="276"/>
              <w:gridCol w:w="526"/>
              <w:gridCol w:w="1323"/>
              <w:gridCol w:w="274"/>
              <w:gridCol w:w="153"/>
            </w:tblGrid>
            <w:tr>
              <w:tc>
                <w:tcPr>
                  <w:tcW w:type="dxa" w:w="276"/>
                  <w:tcBorders>
                    <w:top w:val="single" w:color="000000" w:sz="4"/>
                    <w:left w:val="single" w:color="000000" w:sz="4"/>
                    <w:bottom w:val="single" w:color="000000" w:sz="4"/>
                    <w:right w:val="single" w:color="000000" w:sz="4"/>
                  </w:tcBorders>
                  <w:shd w:fill="92D050"/>
                  <w:tcMar>
                    <w:top w:type="dxa" w:w="0"/>
                    <w:left w:type="dxa" w:w="105"/>
                    <w:bottom w:type="dxa" w:w="0"/>
                    <w:right w:type="dxa" w:w="105"/>
                  </w:tcMar>
                  <w:vAlign w:val="top"/>
                </w:tcPr>
                <w:p>
                  <w:pPr>
                    <w:pStyle w:val="null3"/>
                    <w:jc w:val="center"/>
                  </w:pPr>
                  <w:r>
                    <w:rPr>
                      <w:rFonts w:ascii="宋体" w:hAnsi="宋体" w:cs="宋体" w:eastAsia="宋体"/>
                      <w:sz w:val="24"/>
                      <w:color w:val="000000"/>
                    </w:rPr>
                    <w:t>序号</w:t>
                  </w:r>
                </w:p>
              </w:tc>
              <w:tc>
                <w:tcPr>
                  <w:tcW w:type="dxa" w:w="526"/>
                  <w:tcBorders>
                    <w:top w:val="single" w:color="000000" w:sz="4"/>
                    <w:left w:val="single" w:color="000000" w:sz="4"/>
                    <w:bottom w:val="single" w:color="000000" w:sz="4"/>
                    <w:right w:val="single" w:color="000000" w:sz="4"/>
                  </w:tcBorders>
                  <w:shd w:fill="92D050"/>
                  <w:tcMar>
                    <w:top w:type="dxa" w:w="0"/>
                    <w:left w:type="dxa" w:w="105"/>
                    <w:bottom w:type="dxa" w:w="0"/>
                    <w:right w:type="dxa" w:w="105"/>
                  </w:tcMar>
                  <w:vAlign w:val="top"/>
                </w:tcPr>
                <w:p>
                  <w:pPr>
                    <w:pStyle w:val="null3"/>
                    <w:jc w:val="center"/>
                  </w:pPr>
                  <w:r>
                    <w:rPr>
                      <w:rFonts w:ascii="宋体" w:hAnsi="宋体" w:cs="宋体" w:eastAsia="宋体"/>
                      <w:sz w:val="24"/>
                      <w:color w:val="000000"/>
                    </w:rPr>
                    <w:t>分项目名称</w:t>
                  </w:r>
                </w:p>
              </w:tc>
              <w:tc>
                <w:tcPr>
                  <w:tcW w:type="dxa" w:w="1323"/>
                  <w:tcBorders>
                    <w:top w:val="single" w:color="000000" w:sz="4"/>
                    <w:left w:val="single" w:color="000000" w:sz="4"/>
                    <w:bottom w:val="single" w:color="000000" w:sz="4"/>
                    <w:right w:val="single" w:color="000000" w:sz="4"/>
                  </w:tcBorders>
                  <w:shd w:fill="92D050"/>
                  <w:tcMar>
                    <w:top w:type="dxa" w:w="0"/>
                    <w:left w:type="dxa" w:w="105"/>
                    <w:bottom w:type="dxa" w:w="0"/>
                    <w:right w:type="dxa" w:w="105"/>
                  </w:tcMar>
                  <w:vAlign w:val="top"/>
                </w:tcPr>
                <w:p>
                  <w:pPr>
                    <w:pStyle w:val="null3"/>
                    <w:jc w:val="center"/>
                  </w:pPr>
                  <w:r>
                    <w:rPr>
                      <w:rFonts w:ascii="宋体" w:hAnsi="宋体" w:cs="宋体" w:eastAsia="宋体"/>
                      <w:sz w:val="24"/>
                      <w:color w:val="000000"/>
                    </w:rPr>
                    <w:t>规格参数</w:t>
                  </w:r>
                </w:p>
              </w:tc>
              <w:tc>
                <w:tcPr>
                  <w:tcW w:type="dxa" w:w="274"/>
                  <w:tcBorders>
                    <w:top w:val="single" w:color="000000" w:sz="4"/>
                    <w:left w:val="single" w:color="000000" w:sz="4"/>
                    <w:bottom w:val="single" w:color="000000" w:sz="4"/>
                    <w:right w:val="single" w:color="000000" w:sz="4"/>
                  </w:tcBorders>
                  <w:shd w:fill="92D050"/>
                  <w:tcMar>
                    <w:top w:type="dxa" w:w="0"/>
                    <w:left w:type="dxa" w:w="105"/>
                    <w:bottom w:type="dxa" w:w="0"/>
                    <w:right w:type="dxa" w:w="105"/>
                  </w:tcMar>
                  <w:vAlign w:val="top"/>
                </w:tcPr>
                <w:p>
                  <w:pPr>
                    <w:pStyle w:val="null3"/>
                    <w:jc w:val="center"/>
                  </w:pPr>
                  <w:r>
                    <w:rPr>
                      <w:rFonts w:ascii="宋体" w:hAnsi="宋体" w:cs="宋体" w:eastAsia="宋体"/>
                      <w:sz w:val="24"/>
                      <w:color w:val="000000"/>
                    </w:rPr>
                    <w:t>数量</w:t>
                  </w:r>
                </w:p>
              </w:tc>
              <w:tc>
                <w:tcPr>
                  <w:tcW w:type="dxa" w:w="153"/>
                  <w:tcBorders>
                    <w:top w:val="single" w:color="000000" w:sz="4"/>
                    <w:left w:val="single" w:color="000000" w:sz="4"/>
                    <w:bottom w:val="single" w:color="000000" w:sz="4"/>
                    <w:right w:val="single" w:color="000000" w:sz="4"/>
                  </w:tcBorders>
                  <w:shd w:fill="92D050"/>
                  <w:tcMar>
                    <w:top w:type="dxa" w:w="0"/>
                    <w:left w:type="dxa" w:w="105"/>
                    <w:bottom w:type="dxa" w:w="0"/>
                    <w:right w:type="dxa" w:w="105"/>
                  </w:tcMar>
                  <w:vAlign w:val="top"/>
                </w:tcPr>
                <w:p>
                  <w:pPr>
                    <w:pStyle w:val="null3"/>
                    <w:jc w:val="center"/>
                  </w:pPr>
                  <w:r>
                    <w:rPr>
                      <w:rFonts w:ascii="宋体" w:hAnsi="宋体" w:cs="宋体" w:eastAsia="宋体"/>
                      <w:sz w:val="24"/>
                      <w:color w:val="000000"/>
                    </w:rPr>
                    <w:t>单位</w:t>
                  </w:r>
                </w:p>
              </w:tc>
            </w:tr>
            <w:tr>
              <w:tc>
                <w:tcPr>
                  <w:tcW w:type="dxa" w:w="2552"/>
                  <w:gridSpan w:val="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pPr>
                  <w:r>
                    <w:rPr>
                      <w:rFonts w:ascii="宋体" w:hAnsi="宋体" w:cs="宋体" w:eastAsia="宋体"/>
                      <w:sz w:val="24"/>
                      <w:color w:val="000000"/>
                    </w:rPr>
                    <w:t>（一）种植基地生产环境监测系统</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种植基地局部小气候生产环境监测系统</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太阳能气象监测系统，综合一体型多功能避雷立杆，设备主机为工业级物联网数据采集终端，支持采集频率远程在线可调，支持现有2/3/4G通信自适应模式、可扩展升级LoRa、Zigbee、NB-IoT/5G等制式数据传送，设备支持远程控制和升级存储功能，支持MQTT物联网协议或其他物联网协议，支持断点续传、支持远程升级，通讯延时不高于3秒。包含定制2~3米综合业务监测杆、30W高性能太阳光伏板+30AH防爆聚合物锂电池+智能光伏供储电转换稳压器。主要设备技术指标要求：</w:t>
                  </w:r>
                  <w:r>
                    <w:br/>
                  </w:r>
                  <w:r>
                    <w:rPr>
                      <w:rFonts w:ascii="宋体" w:hAnsi="宋体" w:cs="宋体" w:eastAsia="宋体"/>
                      <w:sz w:val="24"/>
                      <w:color w:val="000000"/>
                    </w:rPr>
                    <w:t>1.空气温度范围：-40℃～80℃；</w:t>
                  </w:r>
                  <w:r>
                    <w:br/>
                  </w:r>
                  <w:r>
                    <w:rPr>
                      <w:rFonts w:ascii="宋体" w:hAnsi="宋体" w:cs="宋体" w:eastAsia="宋体"/>
                      <w:sz w:val="24"/>
                      <w:color w:val="000000"/>
                    </w:rPr>
                    <w:t>2.空气湿度范围：0～100%RH；</w:t>
                  </w:r>
                  <w:r>
                    <w:br/>
                  </w:r>
                  <w:r>
                    <w:rPr>
                      <w:rFonts w:ascii="宋体" w:hAnsi="宋体" w:cs="宋体" w:eastAsia="宋体"/>
                      <w:sz w:val="24"/>
                      <w:color w:val="000000"/>
                    </w:rPr>
                    <w:t>3.光照强度范围：0～65535Lux；</w:t>
                  </w:r>
                  <w:r>
                    <w:br/>
                  </w:r>
                  <w:r>
                    <w:rPr>
                      <w:rFonts w:ascii="宋体" w:hAnsi="宋体" w:cs="宋体" w:eastAsia="宋体"/>
                      <w:sz w:val="24"/>
                      <w:color w:val="000000"/>
                    </w:rPr>
                    <w:t>4.降雨量范围：0～30mm/min；</w:t>
                  </w:r>
                  <w:r>
                    <w:br/>
                  </w:r>
                  <w:r>
                    <w:rPr>
                      <w:rFonts w:ascii="宋体" w:hAnsi="宋体" w:cs="宋体" w:eastAsia="宋体"/>
                      <w:sz w:val="24"/>
                      <w:color w:val="000000"/>
                    </w:rPr>
                    <w:t>5.风速：0～30m/s；</w:t>
                  </w:r>
                  <w:r>
                    <w:br/>
                  </w:r>
                  <w:r>
                    <w:rPr>
                      <w:rFonts w:ascii="宋体" w:hAnsi="宋体" w:cs="宋体" w:eastAsia="宋体"/>
                      <w:sz w:val="24"/>
                      <w:color w:val="000000"/>
                    </w:rPr>
                    <w:t>6.风向：0°～360°；</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种植基地局部土壤墒情环境监测系统</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太阳能气象监测系统，综合一体型多功能避雷立杆，设备主机为工业级物联网数据采集终端，支持采集频率远程在线可调，支持现有2/3/4G通信自适应模式、可扩展升级LoRa、Zigbee、NB-IoT/5G等制式数据传送，设备支持远程控制和升级存储功能，支持MQTT物联网协议或其他物联网协议，支持断点续传、支持远程升级，通讯延时不高于3秒。包含定制2~3米综合业务监测杆、30W高性能太阳光伏板+30AH防爆聚合物锂电池+智能光伏供储电转换稳压器。主要设备技术指标要求：</w:t>
                  </w:r>
                  <w:r>
                    <w:br/>
                  </w:r>
                  <w:r>
                    <w:rPr>
                      <w:rFonts w:ascii="宋体" w:hAnsi="宋体" w:cs="宋体" w:eastAsia="宋体"/>
                      <w:sz w:val="24"/>
                      <w:color w:val="000000"/>
                    </w:rPr>
                    <w:t>1.土壤温度：-45℃～115℃；</w:t>
                  </w:r>
                  <w:r>
                    <w:br/>
                  </w:r>
                  <w:r>
                    <w:rPr>
                      <w:rFonts w:ascii="宋体" w:hAnsi="宋体" w:cs="宋体" w:eastAsia="宋体"/>
                      <w:sz w:val="24"/>
                      <w:color w:val="000000"/>
                    </w:rPr>
                    <w:t>2.土壤水分：0～100%；</w:t>
                  </w:r>
                  <w:r>
                    <w:br/>
                  </w:r>
                  <w:r>
                    <w:rPr>
                      <w:rFonts w:ascii="宋体" w:hAnsi="宋体" w:cs="宋体" w:eastAsia="宋体"/>
                      <w:sz w:val="24"/>
                      <w:color w:val="000000"/>
                    </w:rPr>
                    <w:t>3.土壤EC：0～10000us/cm；</w:t>
                  </w:r>
                  <w:r>
                    <w:br/>
                  </w:r>
                  <w:r>
                    <w:rPr>
                      <w:rFonts w:ascii="宋体" w:hAnsi="宋体" w:cs="宋体" w:eastAsia="宋体"/>
                      <w:sz w:val="24"/>
                      <w:color w:val="000000"/>
                    </w:rPr>
                    <w:t>4.土壤PH:4～10PH；</w:t>
                  </w:r>
                  <w:r>
                    <w:br/>
                  </w:r>
                  <w:r>
                    <w:rPr>
                      <w:rFonts w:ascii="宋体" w:hAnsi="宋体" w:cs="宋体" w:eastAsia="宋体"/>
                      <w:sz w:val="24"/>
                      <w:color w:val="000000"/>
                    </w:rPr>
                    <w:t>5.土壤氮磷钾：0-1999mg/kg</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生产基地物联网</w:t>
                  </w:r>
                  <w:r>
                    <w:rPr>
                      <w:rFonts w:ascii="宋体" w:hAnsi="宋体" w:cs="宋体" w:eastAsia="宋体"/>
                      <w:sz w:val="24"/>
                      <w:color w:val="000000"/>
                    </w:rPr>
                    <w:t>LED显示屏系统</w:t>
                  </w:r>
                </w:p>
                <w:p>
                  <w:pPr>
                    <w:pStyle w:val="null3"/>
                  </w:p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用于无线远程实时显示监测终端所采集的环境信息，支持无线远程异地安装、在线可调显示不同基地环境监测数据，支持现有2/3/4G通信自适应模式，可扩展升级LoRa、Zigbee、NO-IoT/5G等制式数据传送，设备支持远程控制和升级存储功能，支持无线远程接收采集的环境数据。支持断点续传、远程升级，显示刷新频率不低于30秒，支持远程自定义实时显示内容，可固定、滚动、翻屏等方式显示环境指标、不低于三行显示内容，支持户外和户内安装，支持防雨、防尘、防雷。支持立杆上安装，尺寸不小于65*50cm。</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4</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安全防护景观式围栏</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数据采集监测系统及病虫害防护系统的围栏</w:t>
                  </w:r>
                  <w:r>
                    <w:rPr>
                      <w:rFonts w:ascii="宋体" w:hAnsi="宋体" w:cs="宋体" w:eastAsia="宋体"/>
                      <w:sz w:val="24"/>
                      <w:color w:val="000000"/>
                    </w:rPr>
                    <w:t>/塑钢.高度1-1.2米.长度1-3米。</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2552"/>
                  <w:gridSpan w:val="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pPr>
                  <w:r>
                    <w:rPr>
                      <w:rFonts w:ascii="宋体" w:hAnsi="宋体" w:cs="宋体" w:eastAsia="宋体"/>
                      <w:sz w:val="24"/>
                      <w:color w:val="000000"/>
                    </w:rPr>
                    <w:t>（二）病虫害智能监测与防控系统</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远程多光谱物联网太阳能害虫捕杀系统</w:t>
                  </w:r>
                </w:p>
                <w:p>
                  <w:pPr>
                    <w:pStyle w:val="null3"/>
                  </w:pP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1、符合 GB/24689.2-2017 植物保护机械频振式杀虫灯国家标准。</w:t>
                  </w:r>
                  <w:r>
                    <w:br/>
                  </w:r>
                  <w:r>
                    <w:rPr>
                      <w:rFonts w:ascii="宋体" w:hAnsi="宋体" w:cs="宋体" w:eastAsia="宋体"/>
                      <w:sz w:val="24"/>
                      <w:color w:val="000000"/>
                    </w:rPr>
                    <w:t>2、触杀虫网：采用不锈钢方形竖网连接，竖丝直径 2mm,网丝间距 10±2mm，电网电压：4000±300V。</w:t>
                  </w:r>
                  <w:r>
                    <w:br/>
                  </w:r>
                  <w:r>
                    <w:rPr>
                      <w:rFonts w:ascii="宋体" w:hAnsi="宋体" w:cs="宋体" w:eastAsia="宋体"/>
                      <w:sz w:val="24"/>
                      <w:color w:val="000000"/>
                    </w:rPr>
                    <w:t>3、诱集光源：15WLED 频振灯管(365±10nm)，启动时间≤3s。</w:t>
                  </w:r>
                  <w:r>
                    <w:br/>
                  </w:r>
                  <w:r>
                    <w:rPr>
                      <w:rFonts w:ascii="宋体" w:hAnsi="宋体" w:cs="宋体" w:eastAsia="宋体"/>
                      <w:sz w:val="24"/>
                      <w:color w:val="000000"/>
                    </w:rPr>
                    <w:t>4、撞击面积：≥0.22 ㎡。</w:t>
                  </w:r>
                  <w:r>
                    <w:br/>
                  </w:r>
                  <w:r>
                    <w:rPr>
                      <w:rFonts w:ascii="宋体" w:hAnsi="宋体" w:cs="宋体" w:eastAsia="宋体"/>
                      <w:sz w:val="24"/>
                      <w:color w:val="000000"/>
                    </w:rPr>
                    <w:t>5、整灯功率：≤35W，待机功率≤5W；</w:t>
                  </w:r>
                  <w:r>
                    <w:br/>
                  </w:r>
                  <w:r>
                    <w:rPr>
                      <w:rFonts w:ascii="宋体" w:hAnsi="宋体" w:cs="宋体" w:eastAsia="宋体"/>
                      <w:sz w:val="24"/>
                      <w:color w:val="000000"/>
                    </w:rPr>
                    <w:t>6、太阳能电池板组件：单晶硅太阳能电池板，功率 40Wp。</w:t>
                  </w:r>
                  <w:r>
                    <w:br/>
                  </w:r>
                  <w:r>
                    <w:rPr>
                      <w:rFonts w:ascii="宋体" w:hAnsi="宋体" w:cs="宋体" w:eastAsia="宋体"/>
                      <w:sz w:val="24"/>
                      <w:color w:val="000000"/>
                    </w:rPr>
                    <w:t>7、蓄电池：DC3.2V/30Ah 免维护胶体电池</w:t>
                  </w:r>
                  <w:r>
                    <w:br/>
                  </w:r>
                  <w:r>
                    <w:rPr>
                      <w:rFonts w:ascii="宋体" w:hAnsi="宋体" w:cs="宋体" w:eastAsia="宋体"/>
                      <w:sz w:val="24"/>
                      <w:color w:val="000000"/>
                    </w:rPr>
                    <w:t>8、光控技术：根据昼夜交替自动开关灯。</w:t>
                  </w:r>
                  <w:r>
                    <w:br/>
                  </w:r>
                  <w:r>
                    <w:rPr>
                      <w:rFonts w:ascii="宋体" w:hAnsi="宋体" w:cs="宋体" w:eastAsia="宋体"/>
                      <w:sz w:val="24"/>
                      <w:color w:val="000000"/>
                    </w:rPr>
                    <w:t>9、雨控装置：杀虫灯在雨天自动进入保护状态，雨停后可恢复工作。</w:t>
                  </w:r>
                  <w:r>
                    <w:br/>
                  </w:r>
                  <w:r>
                    <w:rPr>
                      <w:rFonts w:ascii="宋体" w:hAnsi="宋体" w:cs="宋体" w:eastAsia="宋体"/>
                      <w:sz w:val="24"/>
                      <w:color w:val="000000"/>
                    </w:rPr>
                    <w:t>10、过流保护：具有过流保护功能，线路中安装有 5A 保险管，电流超过限定值会断开线路。</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远程遥感智能虫情测报系统</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1.符合GB/T24689.1-2009植物保护机械虫情测报灯标准；</w:t>
                  </w:r>
                  <w:r>
                    <w:br/>
                  </w:r>
                  <w:r>
                    <w:rPr>
                      <w:rFonts w:ascii="宋体" w:hAnsi="宋体" w:cs="宋体" w:eastAsia="宋体"/>
                      <w:sz w:val="24"/>
                      <w:color w:val="000000"/>
                    </w:rPr>
                    <w:t>2.运行状态实现无线网络监测管理、设备运行管理、 故障报警等功能；</w:t>
                  </w:r>
                  <w:r>
                    <w:br/>
                  </w:r>
                  <w:r>
                    <w:rPr>
                      <w:rFonts w:ascii="宋体" w:hAnsi="宋体" w:cs="宋体" w:eastAsia="宋体"/>
                      <w:sz w:val="24"/>
                      <w:color w:val="000000"/>
                    </w:rPr>
                    <w:t>3.采用PLC控制整个测报灯的运行及监控，产品功能LED指示灯状态显示；</w:t>
                  </w:r>
                  <w:r>
                    <w:br/>
                  </w:r>
                  <w:r>
                    <w:rPr>
                      <w:rFonts w:ascii="宋体" w:hAnsi="宋体" w:cs="宋体" w:eastAsia="宋体"/>
                      <w:sz w:val="24"/>
                      <w:color w:val="000000"/>
                    </w:rPr>
                    <w:t>4.虫情图像拍照：采用800万像素工业专用摄像机，能够进行低照度成像并通过tcp/ip方式传送至服务器，可达到人工识别；</w:t>
                  </w:r>
                  <w:r>
                    <w:br/>
                  </w:r>
                  <w:r>
                    <w:rPr>
                      <w:rFonts w:ascii="宋体" w:hAnsi="宋体" w:cs="宋体" w:eastAsia="宋体"/>
                      <w:sz w:val="24"/>
                      <w:color w:val="000000"/>
                    </w:rPr>
                    <w:t>5.拍照频率可设定，可以自动计数并根据落虫数量间隔进行拍照控制；</w:t>
                  </w:r>
                  <w:r>
                    <w:br/>
                  </w:r>
                  <w:r>
                    <w:rPr>
                      <w:rFonts w:ascii="宋体" w:hAnsi="宋体" w:cs="宋体" w:eastAsia="宋体"/>
                      <w:sz w:val="24"/>
                      <w:color w:val="000000"/>
                    </w:rPr>
                    <w:t>6.晚上自动开灯，白天自动关灯，在夜间工作状态下， 不受瞬间强光照射改变工作状态；</w:t>
                  </w:r>
                  <w:r>
                    <w:br/>
                  </w:r>
                  <w:r>
                    <w:rPr>
                      <w:rFonts w:ascii="宋体" w:hAnsi="宋体" w:cs="宋体" w:eastAsia="宋体"/>
                      <w:sz w:val="24"/>
                      <w:color w:val="000000"/>
                    </w:rPr>
                    <w:t>7.采用翻板接虫方式，可保证虫体不堆叠；拍照完毕后接虫板自动翻转180度，虫子落入集虫箱；</w:t>
                  </w:r>
                  <w:r>
                    <w:br/>
                  </w:r>
                  <w:r>
                    <w:rPr>
                      <w:rFonts w:ascii="宋体" w:hAnsi="宋体" w:cs="宋体" w:eastAsia="宋体"/>
                      <w:sz w:val="24"/>
                      <w:color w:val="000000"/>
                    </w:rPr>
                    <w:t>8.雨控装置：按外界雨量变化自动控制整灯工作；</w:t>
                  </w:r>
                  <w:r>
                    <w:br/>
                  </w:r>
                  <w:r>
                    <w:rPr>
                      <w:rFonts w:ascii="宋体" w:hAnsi="宋体" w:cs="宋体" w:eastAsia="宋体"/>
                      <w:sz w:val="24"/>
                      <w:color w:val="000000"/>
                    </w:rPr>
                    <w:t>9.可增加诱虫撞击百叶窗，有效减少鞘翅目害虫，使测报更具有目标性。可增加计数和拍照功能，提高了设备的人性化，科学监测预警虫情发生规律。</w:t>
                  </w:r>
                  <w:r>
                    <w:br/>
                  </w:r>
                  <w:r>
                    <w:rPr>
                      <w:rFonts w:ascii="宋体" w:hAnsi="宋体" w:cs="宋体" w:eastAsia="宋体"/>
                      <w:sz w:val="24"/>
                      <w:color w:val="000000"/>
                    </w:rPr>
                    <w:t>10.配有网络信息平台及设备运行平台，实现虫情测报 直观化、网络化、实时化、便捷化、人性化；</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2552"/>
                  <w:gridSpan w:val="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pPr>
                  <w:r>
                    <w:rPr>
                      <w:rFonts w:ascii="宋体" w:hAnsi="宋体" w:cs="宋体" w:eastAsia="宋体"/>
                      <w:sz w:val="24"/>
                      <w:color w:val="000000"/>
                    </w:rPr>
                    <w:t>（三）智能无人驾驶系统</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智能无人驾驶拖拉机</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智能无人驾驶拖拉机，采用电机、</w:t>
                  </w:r>
                  <w:r>
                    <w:rPr>
                      <w:rFonts w:ascii="宋体" w:hAnsi="宋体" w:cs="宋体" w:eastAsia="宋体"/>
                      <w:sz w:val="24"/>
                      <w:color w:val="000000"/>
                    </w:rPr>
                    <w:t>9020控制器、角度传感器、激光雷达、电控拖拉机等构成。</w:t>
                  </w:r>
                </w:p>
                <w:p>
                  <w:pPr>
                    <w:pStyle w:val="null3"/>
                  </w:pPr>
                  <w:r>
                    <w:rPr>
                      <w:rFonts w:ascii="宋体" w:hAnsi="宋体" w:cs="宋体" w:eastAsia="宋体"/>
                      <w:sz w:val="24"/>
                      <w:color w:val="000000"/>
                    </w:rPr>
                    <w:t>具备以下功能点</w:t>
                  </w:r>
                  <w:r>
                    <w:rPr>
                      <w:rFonts w:ascii="宋体" w:hAnsi="宋体" w:cs="宋体" w:eastAsia="宋体"/>
                      <w:sz w:val="24"/>
                      <w:color w:val="000000"/>
                    </w:rPr>
                    <w:t>:</w:t>
                  </w:r>
                </w:p>
                <w:p>
                  <w:pPr>
                    <w:pStyle w:val="null3"/>
                  </w:pPr>
                  <w:r>
                    <w:rPr>
                      <w:rFonts w:ascii="宋体" w:hAnsi="宋体" w:cs="宋体" w:eastAsia="宋体"/>
                      <w:sz w:val="24"/>
                      <w:color w:val="000000"/>
                    </w:rPr>
                    <w:t>支持自动控制油门</w:t>
                  </w:r>
                  <w:r>
                    <w:rPr>
                      <w:rFonts w:ascii="宋体" w:hAnsi="宋体" w:cs="宋体" w:eastAsia="宋体"/>
                      <w:sz w:val="24"/>
                      <w:color w:val="000000"/>
                    </w:rPr>
                    <w:t>:支持自动电控换向，支持机具自动升降;支持遥控点火/熄火;支持人工驾驶优先、遥控优先;支持云平台下发作业。</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2552"/>
                  <w:gridSpan w:val="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pPr>
                  <w:r>
                    <w:rPr>
                      <w:rFonts w:ascii="宋体" w:hAnsi="宋体" w:cs="宋体" w:eastAsia="宋体"/>
                      <w:sz w:val="24"/>
                      <w:color w:val="000000"/>
                    </w:rPr>
                    <w:t>（四）种植区监控系统</w:t>
                  </w:r>
                  <w:r>
                    <w:rPr>
                      <w:rFonts w:ascii="宋体" w:hAnsi="宋体" w:cs="宋体" w:eastAsia="宋体"/>
                      <w:sz w:val="24"/>
                      <w:color w:val="000000"/>
                    </w:rPr>
                    <w:t>·</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作物长势遥感监测站（</w:t>
                  </w:r>
                  <w:r>
                    <w:rPr>
                      <w:rFonts w:ascii="宋体" w:hAnsi="宋体" w:cs="宋体" w:eastAsia="宋体"/>
                      <w:sz w:val="24"/>
                      <w:color w:val="000000"/>
                    </w:rPr>
                    <w:t>360度全方位）</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400万红外4G网络高清智能球机</w:t>
                  </w:r>
                  <w:r>
                    <w:br/>
                  </w:r>
                  <w:r>
                    <w:rPr>
                      <w:rFonts w:ascii="宋体" w:hAnsi="宋体" w:cs="宋体" w:eastAsia="宋体"/>
                      <w:sz w:val="24"/>
                      <w:color w:val="000000"/>
                    </w:rPr>
                    <w:t>支持</w:t>
                  </w:r>
                  <w:r>
                    <w:rPr>
                      <w:rFonts w:ascii="宋体" w:hAnsi="宋体" w:cs="宋体" w:eastAsia="宋体"/>
                      <w:sz w:val="24"/>
                      <w:color w:val="000000"/>
                    </w:rPr>
                    <w:t>4G（移动、联通，电信）网络传输；</w:t>
                  </w:r>
                  <w:r>
                    <w:br/>
                  </w:r>
                  <w:r>
                    <w:rPr>
                      <w:rFonts w:ascii="宋体" w:hAnsi="宋体" w:cs="宋体" w:eastAsia="宋体"/>
                      <w:sz w:val="24"/>
                      <w:color w:val="000000"/>
                    </w:rPr>
                    <w:t>支持</w:t>
                  </w:r>
                  <w:r>
                    <w:rPr>
                      <w:rFonts w:ascii="宋体" w:hAnsi="宋体" w:cs="宋体" w:eastAsia="宋体"/>
                      <w:sz w:val="24"/>
                      <w:color w:val="000000"/>
                    </w:rPr>
                    <w:t>1/2.8" 400万23倍光学变焦镜头，采用高效补光阵列，低功耗，红外补光100 m；</w:t>
                  </w:r>
                  <w:r>
                    <w:br/>
                  </w:r>
                  <w:r>
                    <w:rPr>
                      <w:rFonts w:ascii="宋体" w:hAnsi="宋体" w:cs="宋体" w:eastAsia="宋体"/>
                      <w:sz w:val="24"/>
                      <w:color w:val="000000"/>
                    </w:rPr>
                    <w:t>支持区域入侵侦测，越界侦测，进入区域侦测和离开区域侦测等智能侦测；</w:t>
                  </w:r>
                  <w:r>
                    <w:br/>
                  </w:r>
                  <w:r>
                    <w:rPr>
                      <w:rFonts w:ascii="宋体" w:hAnsi="宋体" w:cs="宋体" w:eastAsia="宋体"/>
                      <w:sz w:val="24"/>
                      <w:color w:val="000000"/>
                    </w:rPr>
                    <w:t>支持超低照度，</w:t>
                  </w:r>
                  <w:r>
                    <w:rPr>
                      <w:rFonts w:ascii="宋体" w:hAnsi="宋体" w:cs="宋体" w:eastAsia="宋体"/>
                      <w:sz w:val="24"/>
                      <w:color w:val="000000"/>
                    </w:rPr>
                    <w:t>0.005 Lux @F1.6（彩色），0.001 Lux @F1.6（黑白），0 Lux with IR；</w:t>
                  </w:r>
                  <w:r>
                    <w:br/>
                  </w:r>
                  <w:r>
                    <w:rPr>
                      <w:rFonts w:ascii="宋体" w:hAnsi="宋体" w:cs="宋体" w:eastAsia="宋体"/>
                      <w:sz w:val="24"/>
                      <w:color w:val="000000"/>
                    </w:rPr>
                    <w:t>支持</w:t>
                  </w:r>
                  <w:r>
                    <w:rPr>
                      <w:rFonts w:ascii="宋体" w:hAnsi="宋体" w:cs="宋体" w:eastAsia="宋体"/>
                      <w:sz w:val="24"/>
                      <w:color w:val="000000"/>
                    </w:rPr>
                    <w:t>23倍光学变倍，16倍数字变倍；</w:t>
                  </w:r>
                  <w:r>
                    <w:br/>
                  </w:r>
                  <w:r>
                    <w:rPr>
                      <w:rFonts w:ascii="宋体" w:hAnsi="宋体" w:cs="宋体" w:eastAsia="宋体"/>
                      <w:sz w:val="24"/>
                      <w:color w:val="000000"/>
                    </w:rPr>
                    <w:t>支持三码流技术，每路码流可独立配置分辨率及帧率；</w:t>
                  </w:r>
                  <w:r>
                    <w:br/>
                  </w:r>
                  <w:r>
                    <w:rPr>
                      <w:rFonts w:ascii="宋体" w:hAnsi="宋体" w:cs="宋体" w:eastAsia="宋体"/>
                      <w:sz w:val="24"/>
                      <w:color w:val="000000"/>
                    </w:rPr>
                    <w:t>支持</w:t>
                  </w:r>
                  <w:r>
                    <w:rPr>
                      <w:rFonts w:ascii="宋体" w:hAnsi="宋体" w:cs="宋体" w:eastAsia="宋体"/>
                      <w:sz w:val="24"/>
                      <w:color w:val="000000"/>
                    </w:rPr>
                    <w:t>3D数字降噪，支持120 dB宽动态；</w:t>
                  </w:r>
                  <w:r>
                    <w:br/>
                  </w:r>
                  <w:r>
                    <w:rPr>
                      <w:rFonts w:ascii="宋体" w:hAnsi="宋体" w:cs="宋体" w:eastAsia="宋体"/>
                      <w:sz w:val="24"/>
                      <w:color w:val="000000"/>
                    </w:rPr>
                    <w:t>支持定时抓图与事件抓图功能；</w:t>
                  </w:r>
                  <w:r>
                    <w:br/>
                  </w:r>
                  <w:r>
                    <w:rPr>
                      <w:rFonts w:ascii="宋体" w:hAnsi="宋体" w:cs="宋体" w:eastAsia="宋体"/>
                      <w:sz w:val="24"/>
                      <w:color w:val="000000"/>
                    </w:rPr>
                    <w:t>支持定时任务，一键守望，一键巡航功能；</w:t>
                  </w:r>
                  <w:r>
                    <w:br/>
                  </w:r>
                  <w:r>
                    <w:rPr>
                      <w:rFonts w:ascii="宋体" w:hAnsi="宋体" w:cs="宋体" w:eastAsia="宋体"/>
                      <w:sz w:val="24"/>
                      <w:color w:val="000000"/>
                    </w:rPr>
                    <w:t>开放型网络视频接口，</w:t>
                  </w:r>
                  <w:r>
                    <w:rPr>
                      <w:rFonts w:ascii="宋体" w:hAnsi="宋体" w:cs="宋体" w:eastAsia="宋体"/>
                      <w:sz w:val="24"/>
                      <w:color w:val="000000"/>
                    </w:rPr>
                    <w:t>ISAPI，GB/T28181，ISUP，支持萤石云平台接入；</w:t>
                  </w:r>
                  <w:r>
                    <w:br/>
                  </w:r>
                  <w:r>
                    <w:rPr>
                      <w:rFonts w:ascii="宋体" w:hAnsi="宋体" w:cs="宋体" w:eastAsia="宋体"/>
                      <w:sz w:val="24"/>
                      <w:color w:val="000000"/>
                    </w:rPr>
                    <w:t>支持一进一出报警，一进一出音频，最大支持</w:t>
                  </w:r>
                  <w:r>
                    <w:rPr>
                      <w:rFonts w:ascii="宋体" w:hAnsi="宋体" w:cs="宋体" w:eastAsia="宋体"/>
                      <w:sz w:val="24"/>
                      <w:color w:val="000000"/>
                    </w:rPr>
                    <w:t>256 GB MicroSD卡存储</w:t>
                  </w:r>
                  <w:r>
                    <w:br/>
                  </w:r>
                  <w:r>
                    <w:rPr>
                      <w:rFonts w:ascii="宋体" w:hAnsi="宋体" w:cs="宋体" w:eastAsia="宋体"/>
                      <w:sz w:val="24"/>
                      <w:color w:val="000000"/>
                    </w:rPr>
                    <w:t>IP66，抗干扰能力强，适用于严酷的电磁环境，符合GB/T17626.2/3/4/5/6四级标准</w:t>
                  </w:r>
                  <w:r>
                    <w:br/>
                  </w:r>
                  <w:r>
                    <w:rPr>
                      <w:rFonts w:ascii="宋体" w:hAnsi="宋体" w:cs="宋体" w:eastAsia="宋体"/>
                      <w:sz w:val="24"/>
                      <w:color w:val="000000"/>
                    </w:rPr>
                    <w:t>支持</w:t>
                  </w:r>
                  <w:r>
                    <w:rPr>
                      <w:rFonts w:ascii="宋体" w:hAnsi="宋体" w:cs="宋体" w:eastAsia="宋体"/>
                      <w:sz w:val="24"/>
                      <w:color w:val="000000"/>
                    </w:rPr>
                    <w:t>4G（移动、联通、电信）网络传输，兼容3G（移动、联通、电信）</w:t>
                  </w:r>
                  <w:r>
                    <w:br/>
                  </w:r>
                  <w:r>
                    <w:rPr>
                      <w:rFonts w:ascii="宋体" w:hAnsi="宋体" w:cs="宋体" w:eastAsia="宋体"/>
                      <w:sz w:val="24"/>
                      <w:color w:val="000000"/>
                    </w:rPr>
                    <w:t>支持</w:t>
                  </w:r>
                  <w:r>
                    <w:rPr>
                      <w:rFonts w:ascii="宋体" w:hAnsi="宋体" w:cs="宋体" w:eastAsia="宋体"/>
                      <w:sz w:val="24"/>
                      <w:color w:val="000000"/>
                    </w:rPr>
                    <w:t>485读取海康标准电池电量信息并进行OSD叠加。</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作物长势监测固定监测站</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400万双光4G网络摄像机</w:t>
                  </w:r>
                  <w:r>
                    <w:br/>
                  </w:r>
                  <w:r>
                    <w:rPr>
                      <w:rFonts w:ascii="宋体" w:hAnsi="宋体" w:cs="宋体" w:eastAsia="宋体"/>
                      <w:sz w:val="24"/>
                      <w:color w:val="000000"/>
                    </w:rPr>
                    <w:t>最高分辨率可达</w:t>
                  </w:r>
                  <w:r>
                    <w:rPr>
                      <w:rFonts w:ascii="宋体" w:hAnsi="宋体" w:cs="宋体" w:eastAsia="宋体"/>
                      <w:sz w:val="24"/>
                      <w:color w:val="000000"/>
                    </w:rPr>
                    <w:t>2560 × 1440 @25 fps，在该分辨率下可输出实时图像</w:t>
                  </w:r>
                  <w:r>
                    <w:br/>
                  </w:r>
                  <w:r>
                    <w:rPr>
                      <w:rFonts w:ascii="宋体" w:hAnsi="宋体" w:cs="宋体" w:eastAsia="宋体"/>
                      <w:sz w:val="24"/>
                      <w:color w:val="000000"/>
                    </w:rPr>
                    <w:t>支持背光补偿，强光抑制，</w:t>
                  </w:r>
                  <w:r>
                    <w:rPr>
                      <w:rFonts w:ascii="宋体" w:hAnsi="宋体" w:cs="宋体" w:eastAsia="宋体"/>
                      <w:sz w:val="24"/>
                      <w:color w:val="000000"/>
                    </w:rPr>
                    <w:t>3D数字降噪，数字宽动态，适应不同环境；</w:t>
                  </w:r>
                  <w:r>
                    <w:br/>
                  </w:r>
                  <w:r>
                    <w:rPr>
                      <w:rFonts w:ascii="宋体" w:hAnsi="宋体" w:cs="宋体" w:eastAsia="宋体"/>
                      <w:sz w:val="24"/>
                      <w:color w:val="000000"/>
                    </w:rPr>
                    <w:t>支持萤石平台接入；</w:t>
                  </w:r>
                  <w:r>
                    <w:br/>
                  </w:r>
                  <w:r>
                    <w:rPr>
                      <w:rFonts w:ascii="宋体" w:hAnsi="宋体" w:cs="宋体" w:eastAsia="宋体"/>
                      <w:sz w:val="24"/>
                      <w:color w:val="000000"/>
                    </w:rPr>
                    <w:t>支持低码率模式；</w:t>
                  </w:r>
                  <w:r>
                    <w:br/>
                  </w:r>
                  <w:r>
                    <w:rPr>
                      <w:rFonts w:ascii="宋体" w:hAnsi="宋体" w:cs="宋体" w:eastAsia="宋体"/>
                      <w:sz w:val="24"/>
                      <w:color w:val="000000"/>
                    </w:rPr>
                    <w:t>智能补光，支持暖光</w:t>
                  </w:r>
                  <w:r>
                    <w:rPr>
                      <w:rFonts w:ascii="宋体" w:hAnsi="宋体" w:cs="宋体" w:eastAsia="宋体"/>
                      <w:sz w:val="24"/>
                      <w:color w:val="000000"/>
                    </w:rPr>
                    <w:t>/红外双补光，红外光最远可达30 m，暖光最远可达30 m；</w:t>
                  </w:r>
                  <w:r>
                    <w:br/>
                  </w:r>
                  <w:r>
                    <w:rPr>
                      <w:rFonts w:ascii="宋体" w:hAnsi="宋体" w:cs="宋体" w:eastAsia="宋体"/>
                      <w:sz w:val="24"/>
                      <w:color w:val="000000"/>
                    </w:rPr>
                    <w:t>支持</w:t>
                  </w:r>
                  <w:r>
                    <w:rPr>
                      <w:rFonts w:ascii="宋体" w:hAnsi="宋体" w:cs="宋体" w:eastAsia="宋体"/>
                      <w:sz w:val="24"/>
                      <w:color w:val="000000"/>
                    </w:rPr>
                    <w:t>LTE-TDD/LTE-FDD 4G无线网络传输；</w:t>
                  </w:r>
                  <w:r>
                    <w:br/>
                  </w:r>
                  <w:r>
                    <w:rPr>
                      <w:rFonts w:ascii="宋体" w:hAnsi="宋体" w:cs="宋体" w:eastAsia="宋体"/>
                      <w:sz w:val="24"/>
                      <w:color w:val="000000"/>
                    </w:rPr>
                    <w:t>1个内置麦克风，高清拾音，符合IP66防尘防水设计，可靠性高。</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长距离高速无线网络中继站</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5 GHz Nano MIMO, airMAX，2*2MIMO,300M无线网桥，airOS软件，双以太网连接，支持PoE供电，集成内置天线。   150+ Mbps， 15+ km。</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对</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4</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遥感视频采集录播机</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配备视频专用</w:t>
                  </w:r>
                  <w:r>
                    <w:rPr>
                      <w:rFonts w:ascii="宋体" w:hAnsi="宋体" w:cs="宋体" w:eastAsia="宋体"/>
                      <w:sz w:val="24"/>
                      <w:color w:val="000000"/>
                    </w:rPr>
                    <w:t>T级硬盘，支持eSATA录像备份，网络硬盘录像机支持1080P视频输入，视频记录存储时间不小于7天。</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5</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高速数据交互主机</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支持完备的防护机制</w:t>
                  </w:r>
                  <w:r>
                    <w:rPr>
                      <w:rFonts w:ascii="宋体" w:hAnsi="宋体" w:cs="宋体" w:eastAsia="宋体"/>
                      <w:sz w:val="24"/>
                      <w:color w:val="000000"/>
                    </w:rPr>
                    <w:t>,8个自适应RJ45端口,支持端口自动翻转/双工.全千兆端口.</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6</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视频影响存储硬盘</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硬盘容量</w:t>
                  </w:r>
                  <w:r>
                    <w:rPr>
                      <w:rFonts w:ascii="宋体" w:hAnsi="宋体" w:cs="宋体" w:eastAsia="宋体"/>
                      <w:sz w:val="24"/>
                      <w:color w:val="000000"/>
                    </w:rPr>
                    <w:t>: 4TB；缓存容量: 64MB；接口类型: SATA3；尺寸: 3.5英寸</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7</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云视频平台影像对接服务</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监测、控制、摄像头等数据永久保存于智慧农业监控云平台中，依据监测、控制节点的数量一次性收费</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节点</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8</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多功能综合数据监测立杆</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5 米加厚立杆</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2552"/>
                  <w:gridSpan w:val="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pPr>
                  <w:r>
                    <w:rPr>
                      <w:rFonts w:ascii="宋体" w:hAnsi="宋体" w:cs="宋体" w:eastAsia="宋体"/>
                      <w:sz w:val="24"/>
                      <w:color w:val="000000"/>
                    </w:rPr>
                    <w:t>（五）生产基地智慧粮田数据监测遥控指挥中心</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智慧粮田数据监测遥控指挥分中心控制室</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包含主钢构、次钢构等控制室的整体搭建，以及室内的整体装修。</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临潼生产基地智慧粮田数据监测遥控指挥平台</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临潼生产基地智慧粮田数据监测遥控指挥平台提供基于云端的软件平台服务，包括网页、</w:t>
                  </w:r>
                  <w:r>
                    <w:rPr>
                      <w:rFonts w:ascii="宋体" w:hAnsi="宋体" w:cs="宋体" w:eastAsia="宋体"/>
                      <w:sz w:val="24"/>
                      <w:color w:val="000000"/>
                    </w:rPr>
                    <w:t>Android手机APP、物联网接入服务等。实现：</w:t>
                  </w:r>
                  <w:r>
                    <w:br/>
                  </w:r>
                  <w:r>
                    <w:rPr>
                      <w:rFonts w:ascii="宋体" w:hAnsi="宋体" w:cs="宋体" w:eastAsia="宋体"/>
                      <w:sz w:val="24"/>
                      <w:color w:val="000000"/>
                    </w:rPr>
                    <w:t>1、智慧农业驾驶舱：实现农产品从生产过程追溯，方便农产品安全监管；通过对农产品生产过程的采集，进行大数据的挖掘分析，实现对农业产业结构调整、决策支持。</w:t>
                  </w:r>
                  <w:r>
                    <w:br/>
                  </w:r>
                  <w:r>
                    <w:rPr>
                      <w:rFonts w:ascii="宋体" w:hAnsi="宋体" w:cs="宋体" w:eastAsia="宋体"/>
                      <w:sz w:val="24"/>
                      <w:color w:val="000000"/>
                    </w:rPr>
                    <w:t>系统平台总体包括：</w:t>
                  </w:r>
                  <w:r>
                    <w:br/>
                  </w:r>
                  <w:r>
                    <w:rPr>
                      <w:rFonts w:ascii="宋体" w:hAnsi="宋体" w:cs="宋体" w:eastAsia="宋体"/>
                      <w:sz w:val="24"/>
                      <w:color w:val="000000"/>
                    </w:rPr>
                    <w:t>1）产业园区管理平台：全过程数字化的农业生产管理系统。</w:t>
                  </w:r>
                  <w:r>
                    <w:br/>
                  </w:r>
                  <w:r>
                    <w:rPr>
                      <w:rFonts w:ascii="宋体" w:hAnsi="宋体" w:cs="宋体" w:eastAsia="宋体"/>
                      <w:sz w:val="24"/>
                      <w:color w:val="000000"/>
                    </w:rPr>
                    <w:t>★2）物联网监测管理系统：实时的农业环境信息监测、预警、管理与统计分析。</w:t>
                  </w:r>
                  <w:r>
                    <w:br/>
                  </w:r>
                  <w:r>
                    <w:rPr>
                      <w:rFonts w:ascii="宋体" w:hAnsi="宋体" w:cs="宋体" w:eastAsia="宋体"/>
                      <w:sz w:val="24"/>
                      <w:color w:val="000000"/>
                    </w:rPr>
                    <w:t>★3）大数据监测分析系统：所见即所得的远程设施监测分析、智能控制管理。</w:t>
                  </w:r>
                  <w:r>
                    <w:br/>
                  </w:r>
                  <w:r>
                    <w:rPr>
                      <w:rFonts w:ascii="宋体" w:hAnsi="宋体" w:cs="宋体" w:eastAsia="宋体"/>
                      <w:sz w:val="24"/>
                      <w:color w:val="000000"/>
                    </w:rPr>
                    <w:t>★4）病虫害防治监测库：通过物理防治（电、磁、声等）和生物防治（生物链、生物特性）手段杀死作物病害。科技农病虫害预警系统采用通过图像识别算法，匹配大量病虫害图库，预警防治。</w:t>
                  </w:r>
                  <w:r>
                    <w:br/>
                  </w:r>
                  <w:r>
                    <w:rPr>
                      <w:rFonts w:ascii="宋体" w:hAnsi="宋体" w:cs="宋体" w:eastAsia="宋体"/>
                      <w:sz w:val="24"/>
                      <w:color w:val="000000"/>
                    </w:rPr>
                    <w:t>★5）农业专家诊断平台：系统专家为农业方面各个领域的专家，专家提供相应的农事相关种植、养殖等相关技术，指导人们进行科学有效的生产管理。</w:t>
                  </w:r>
                  <w:r>
                    <w:br/>
                  </w:r>
                  <w:r>
                    <w:rPr>
                      <w:rFonts w:ascii="宋体" w:hAnsi="宋体" w:cs="宋体" w:eastAsia="宋体"/>
                      <w:sz w:val="24"/>
                      <w:color w:val="000000"/>
                    </w:rPr>
                    <w:t>2.系统管理平台：多用户管理、用户权限角色管理；基地、用户、设备等各种系统管理设置功能。</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自合同签订之日起90日历天</w:t>
      </w:r>
    </w:p>
    <w:p>
      <w:pPr>
        <w:pStyle w:val="null3"/>
        <w:outlineLvl w:val="3"/>
      </w:pPr>
      <w:r>
        <w:rPr>
          <w:sz w:val="24"/>
          <w:b/>
        </w:rPr>
        <w:t>3.4.2交货地点</w:t>
      </w:r>
    </w:p>
    <w:p>
      <w:pPr>
        <w:pStyle w:val="null3"/>
      </w:pPr>
      <w:r>
        <w:rPr/>
        <w:t>采购包1：</w:t>
      </w:r>
    </w:p>
    <w:p>
      <w:pPr>
        <w:pStyle w:val="null3"/>
      </w:pPr>
      <w:r>
        <w:rPr/>
        <w:t>西安市临潼区指定地点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w:t>
      </w:r>
      <w:r>
        <w:rPr/>
        <w:t xml:space="preserve"> ，达到付款条件起 </w:t>
      </w:r>
      <w:r>
        <w:rPr/>
        <w:t>15</w:t>
      </w:r>
      <w:r>
        <w:rPr/>
        <w:t xml:space="preserve"> 日内，支付合同总金额的 </w:t>
      </w:r>
      <w:r>
        <w:rPr/>
        <w:t>30.00</w:t>
      </w:r>
      <w:r>
        <w:rPr/>
        <w:t>%。</w:t>
      </w:r>
    </w:p>
    <w:p>
      <w:pPr>
        <w:pStyle w:val="null3"/>
      </w:pPr>
      <w:r>
        <w:rPr/>
        <w:t>采购包1：</w:t>
      </w:r>
      <w:r>
        <w:rPr/>
        <w:t xml:space="preserve"> 付款条件说明： </w:t>
      </w:r>
      <w:r>
        <w:rPr/>
        <w:t>全部货物到达指定地点，安装调试完成经验收合格后，项目专项资金到位</w:t>
      </w:r>
      <w:r>
        <w:rPr/>
        <w:t xml:space="preserve"> ，达到付款条件起 </w:t>
      </w:r>
      <w:r>
        <w:rPr/>
        <w:t>15</w:t>
      </w:r>
      <w:r>
        <w:rPr/>
        <w:t xml:space="preserve"> 日内，支付合同总金额的 </w:t>
      </w:r>
      <w:r>
        <w:rPr/>
        <w:t>70.00</w:t>
      </w:r>
      <w:r>
        <w:rPr/>
        <w:t>%。</w:t>
      </w:r>
    </w:p>
    <w:p>
      <w:pPr>
        <w:pStyle w:val="null3"/>
        <w:outlineLvl w:val="3"/>
      </w:pPr>
      <w:r>
        <w:rPr>
          <w:sz w:val="24"/>
          <w:b/>
        </w:rPr>
        <w:t>3.4.5验收标准和方法</w:t>
      </w:r>
    </w:p>
    <w:p>
      <w:pPr>
        <w:pStyle w:val="null3"/>
      </w:pPr>
      <w:r>
        <w:rPr/>
        <w:t>采购包1：</w:t>
      </w:r>
    </w:p>
    <w:p>
      <w:pPr>
        <w:pStyle w:val="null3"/>
      </w:pPr>
      <w:r>
        <w:rPr/>
        <w:t>合格，达到国家相关规范及标准，符合采购人的要求。</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合同范围内的全部内容，保修期按国家相关要求执行。</w:t>
      </w:r>
    </w:p>
    <w:p>
      <w:pPr>
        <w:pStyle w:val="null3"/>
        <w:outlineLvl w:val="3"/>
      </w:pPr>
      <w:r>
        <w:rPr>
          <w:sz w:val="24"/>
          <w:b/>
        </w:rPr>
        <w:t>3.4.8违约责任与解决争议的方法</w:t>
      </w:r>
    </w:p>
    <w:p>
      <w:pPr>
        <w:pStyle w:val="null3"/>
      </w:pPr>
      <w:r>
        <w:rPr/>
        <w:t>采购包1：</w:t>
      </w:r>
    </w:p>
    <w:p>
      <w:pPr>
        <w:pStyle w:val="null3"/>
      </w:pPr>
      <w:r>
        <w:rPr/>
        <w:t>合同执行中发生争议的，当事人双方应协商解决，协商达不成一致时，可向人民法院提请诉讼。</w:t>
      </w:r>
    </w:p>
    <w:p>
      <w:pPr>
        <w:pStyle w:val="null3"/>
        <w:jc w:val="left"/>
        <w:outlineLvl w:val="2"/>
      </w:pPr>
      <w:r>
        <w:rPr>
          <w:sz w:val="28"/>
          <w:b/>
        </w:rPr>
        <w:t>3.5其他要求</w:t>
      </w:r>
    </w:p>
    <w:p>
      <w:pPr>
        <w:pStyle w:val="null3"/>
      </w:pPr>
      <w:r>
        <w:rPr/>
        <w:t>各平台之间采用标准API数据接口，实现区级智慧粮田数据监测指挥平台监控系统与种植生产管理系统接口数据对接。</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资格证明资料 投标函 供应商承诺书</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w:t>
            </w:r>
          </w:p>
        </w:tc>
        <w:tc>
          <w:tcPr>
            <w:tcW w:type="dxa" w:w="1661"/>
          </w:tcPr>
          <w:p>
            <w:pPr>
              <w:pStyle w:val="null3"/>
            </w:pPr>
            <w:r>
              <w:rPr/>
              <w:t>资格证明资料 供应商承诺书</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资格证明资料 投标函 供应商承诺书</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供应商须为合法注册的法人或者其他组织，并出具合法有效的营业执照；</w:t>
            </w:r>
          </w:p>
        </w:tc>
        <w:tc>
          <w:tcPr>
            <w:tcW w:type="dxa" w:w="1661"/>
          </w:tcPr>
          <w:p>
            <w:pPr>
              <w:pStyle w:val="null3"/>
            </w:pPr>
            <w:r>
              <w:rPr/>
              <w:t>资格证明资料 供应商承诺书</w:t>
            </w:r>
          </w:p>
        </w:tc>
      </w:tr>
      <w:tr>
        <w:tc>
          <w:tcPr>
            <w:tcW w:type="dxa" w:w="831"/>
          </w:tcPr>
          <w:p>
            <w:pPr>
              <w:pStyle w:val="null3"/>
            </w:pPr>
            <w:r>
              <w:rPr/>
              <w:t>2</w:t>
            </w:r>
          </w:p>
        </w:tc>
        <w:tc>
          <w:tcPr>
            <w:tcW w:type="dxa" w:w="2492"/>
          </w:tcPr>
          <w:p>
            <w:pPr>
              <w:pStyle w:val="null3"/>
            </w:pPr>
            <w:r>
              <w:rPr/>
              <w:t>法人代表证明书或法人授权委托书</w:t>
            </w:r>
          </w:p>
        </w:tc>
        <w:tc>
          <w:tcPr>
            <w:tcW w:type="dxa" w:w="3322"/>
          </w:tcPr>
          <w:p>
            <w:pPr>
              <w:pStyle w:val="null3"/>
            </w:pPr>
            <w:r>
              <w:rPr/>
              <w:t>法人代表证明书或法人授权委托书，附法人及被委托人身份证（法定代表人直接参加投标的只需提供法定代表人身份证）;</w:t>
            </w:r>
          </w:p>
        </w:tc>
        <w:tc>
          <w:tcPr>
            <w:tcW w:type="dxa" w:w="1661"/>
          </w:tcPr>
          <w:p>
            <w:pPr>
              <w:pStyle w:val="null3"/>
            </w:pPr>
            <w:r>
              <w:rPr/>
              <w:t>资格证明资料</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提供2023年度经审计的财务审计报告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w:t>
            </w:r>
          </w:p>
        </w:tc>
        <w:tc>
          <w:tcPr>
            <w:tcW w:type="dxa" w:w="1661"/>
          </w:tcPr>
          <w:p>
            <w:pPr>
              <w:pStyle w:val="null3"/>
            </w:pPr>
            <w:r>
              <w:rPr/>
              <w:t>资格证明资料 供应商承诺书</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提供投标截止时间前6个月内任意一个月依法缴纳的税收证明（以税款所属期为准，依法免税的应提供相关证明材料）；</w:t>
            </w:r>
          </w:p>
        </w:tc>
        <w:tc>
          <w:tcPr>
            <w:tcW w:type="dxa" w:w="1661"/>
          </w:tcPr>
          <w:p>
            <w:pPr>
              <w:pStyle w:val="null3"/>
            </w:pPr>
            <w:r>
              <w:rPr/>
              <w:t>资格证明资料 供应商承诺书</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提供投标截止时间前6个月内任意一个月的社保缴纳证明或社保机构开具的社会保险参保缴费情况证明（以税款所属期为准，依法不需要缴纳社会保障资金的应提供相关证明材料）；</w:t>
            </w:r>
          </w:p>
        </w:tc>
        <w:tc>
          <w:tcPr>
            <w:tcW w:type="dxa" w:w="1661"/>
          </w:tcPr>
          <w:p>
            <w:pPr>
              <w:pStyle w:val="null3"/>
            </w:pPr>
            <w:r>
              <w:rPr/>
              <w:t>资格证明资料 供应商承诺书</w:t>
            </w:r>
          </w:p>
        </w:tc>
      </w:tr>
      <w:tr>
        <w:tc>
          <w:tcPr>
            <w:tcW w:type="dxa" w:w="831"/>
          </w:tcPr>
          <w:p>
            <w:pPr>
              <w:pStyle w:val="null3"/>
            </w:pPr>
            <w:r>
              <w:rPr/>
              <w:t>6</w:t>
            </w:r>
          </w:p>
        </w:tc>
        <w:tc>
          <w:tcPr>
            <w:tcW w:type="dxa" w:w="2492"/>
          </w:tcPr>
          <w:p>
            <w:pPr>
              <w:pStyle w:val="null3"/>
            </w:pPr>
            <w:r>
              <w:rPr/>
              <w:t>无重大违法记录的书面声明</w:t>
            </w:r>
          </w:p>
        </w:tc>
        <w:tc>
          <w:tcPr>
            <w:tcW w:type="dxa" w:w="3322"/>
          </w:tcPr>
          <w:p>
            <w:pPr>
              <w:pStyle w:val="null3"/>
            </w:pPr>
            <w:r>
              <w:rPr/>
              <w:t>参加政府采购活动前三年内，在经营活动中没有重大违法记录的书面声明；</w:t>
            </w:r>
          </w:p>
        </w:tc>
        <w:tc>
          <w:tcPr>
            <w:tcW w:type="dxa" w:w="1661"/>
          </w:tcPr>
          <w:p>
            <w:pPr>
              <w:pStyle w:val="null3"/>
            </w:pPr>
            <w:r>
              <w:rPr/>
              <w:t>资格证明资料 供应商承诺书</w:t>
            </w:r>
          </w:p>
        </w:tc>
      </w:tr>
      <w:tr>
        <w:tc>
          <w:tcPr>
            <w:tcW w:type="dxa" w:w="831"/>
          </w:tcPr>
          <w:p>
            <w:pPr>
              <w:pStyle w:val="null3"/>
            </w:pPr>
            <w:r>
              <w:rPr/>
              <w:t>7</w:t>
            </w:r>
          </w:p>
        </w:tc>
        <w:tc>
          <w:tcPr>
            <w:tcW w:type="dxa" w:w="2492"/>
          </w:tcPr>
          <w:p>
            <w:pPr>
              <w:pStyle w:val="null3"/>
            </w:pPr>
            <w:r>
              <w:rPr/>
              <w:t>履行合同书面声明</w:t>
            </w:r>
          </w:p>
        </w:tc>
        <w:tc>
          <w:tcPr>
            <w:tcW w:type="dxa" w:w="3322"/>
          </w:tcPr>
          <w:p>
            <w:pPr>
              <w:pStyle w:val="null3"/>
            </w:pPr>
            <w:r>
              <w:rPr/>
              <w:t>履行合同所必需的设备和专业技术能力的书面声明；</w:t>
            </w:r>
          </w:p>
        </w:tc>
        <w:tc>
          <w:tcPr>
            <w:tcW w:type="dxa" w:w="1661"/>
          </w:tcPr>
          <w:p>
            <w:pPr>
              <w:pStyle w:val="null3"/>
            </w:pPr>
            <w:r>
              <w:rPr/>
              <w:t>资格证明资料 供应商承诺书</w:t>
            </w:r>
          </w:p>
        </w:tc>
      </w:tr>
      <w:tr>
        <w:tc>
          <w:tcPr>
            <w:tcW w:type="dxa" w:w="831"/>
          </w:tcPr>
          <w:p>
            <w:pPr>
              <w:pStyle w:val="null3"/>
            </w:pPr>
            <w:r>
              <w:rPr/>
              <w:t>8</w:t>
            </w:r>
          </w:p>
        </w:tc>
        <w:tc>
          <w:tcPr>
            <w:tcW w:type="dxa" w:w="2492"/>
          </w:tcPr>
          <w:p>
            <w:pPr>
              <w:pStyle w:val="null3"/>
            </w:pPr>
            <w:r>
              <w:rPr/>
              <w:t>供应商关联关系承诺书</w:t>
            </w:r>
          </w:p>
        </w:tc>
        <w:tc>
          <w:tcPr>
            <w:tcW w:type="dxa" w:w="3322"/>
          </w:tcPr>
          <w:p>
            <w:pPr>
              <w:pStyle w:val="null3"/>
            </w:pPr>
            <w:r>
              <w:rPr/>
              <w:t>单位负责人为同一人或者存在直接控股、管理关系的不同供应商，不得参加同一合同项下的投标活动；</w:t>
            </w:r>
          </w:p>
        </w:tc>
        <w:tc>
          <w:tcPr>
            <w:tcW w:type="dxa" w:w="1661"/>
          </w:tcPr>
          <w:p>
            <w:pPr>
              <w:pStyle w:val="null3"/>
            </w:pPr>
            <w:r>
              <w:rPr/>
              <w:t>资格证明资料 供应商承诺书</w:t>
            </w:r>
          </w:p>
        </w:tc>
      </w:tr>
      <w:tr>
        <w:tc>
          <w:tcPr>
            <w:tcW w:type="dxa" w:w="831"/>
          </w:tcPr>
          <w:p>
            <w:pPr>
              <w:pStyle w:val="null3"/>
            </w:pPr>
            <w:r>
              <w:rPr/>
              <w:t>9</w:t>
            </w:r>
          </w:p>
        </w:tc>
        <w:tc>
          <w:tcPr>
            <w:tcW w:type="dxa" w:w="2492"/>
          </w:tcPr>
          <w:p>
            <w:pPr>
              <w:pStyle w:val="null3"/>
            </w:pPr>
            <w:r>
              <w:rPr/>
              <w:t>信誉截图</w:t>
            </w:r>
          </w:p>
        </w:tc>
        <w:tc>
          <w:tcPr>
            <w:tcW w:type="dxa" w:w="3322"/>
          </w:tcPr>
          <w:p>
            <w:pPr>
              <w:pStyle w:val="null3"/>
            </w:pPr>
            <w:r>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tc>
        <w:tc>
          <w:tcPr>
            <w:tcW w:type="dxa" w:w="1661"/>
          </w:tcPr>
          <w:p>
            <w:pPr>
              <w:pStyle w:val="null3"/>
            </w:pPr>
            <w:r>
              <w:rPr/>
              <w:t>资格证明资料 供应商承诺书</w:t>
            </w:r>
          </w:p>
        </w:tc>
      </w:tr>
      <w:tr>
        <w:tc>
          <w:tcPr>
            <w:tcW w:type="dxa" w:w="831"/>
          </w:tcPr>
          <w:p>
            <w:pPr>
              <w:pStyle w:val="null3"/>
            </w:pPr>
            <w:r>
              <w:rPr/>
              <w:t>10</w:t>
            </w:r>
          </w:p>
        </w:tc>
        <w:tc>
          <w:tcPr>
            <w:tcW w:type="dxa" w:w="2492"/>
          </w:tcPr>
          <w:p>
            <w:pPr>
              <w:pStyle w:val="null3"/>
            </w:pPr>
            <w:r>
              <w:rPr/>
              <w:t>落实政府采购政策需满足的资格要求</w:t>
            </w:r>
          </w:p>
        </w:tc>
        <w:tc>
          <w:tcPr>
            <w:tcW w:type="dxa" w:w="3322"/>
          </w:tcPr>
          <w:p>
            <w:pPr>
              <w:pStyle w:val="null3"/>
            </w:pPr>
            <w:r>
              <w:rPr/>
              <w:t>本项目为专门面向中小企业项目，供应商应为中型企业或小型、微型企业或监狱企业或残疾人福利性单位；</w:t>
            </w:r>
          </w:p>
        </w:tc>
        <w:tc>
          <w:tcPr>
            <w:tcW w:type="dxa" w:w="1661"/>
          </w:tcPr>
          <w:p>
            <w:pPr>
              <w:pStyle w:val="null3"/>
            </w:pPr>
            <w:r>
              <w:rPr/>
              <w:t>资格证明资料 中小企业声明函 残疾人福利性单位声明函 供应商承诺书 监狱企业的证明文件</w:t>
            </w:r>
          </w:p>
        </w:tc>
      </w:tr>
      <w:tr>
        <w:tc>
          <w:tcPr>
            <w:tcW w:type="dxa" w:w="831"/>
          </w:tcPr>
          <w:p>
            <w:pPr>
              <w:pStyle w:val="null3"/>
            </w:pPr>
            <w:r>
              <w:rPr/>
              <w:t>11</w:t>
            </w:r>
          </w:p>
        </w:tc>
        <w:tc>
          <w:tcPr>
            <w:tcW w:type="dxa" w:w="2492"/>
          </w:tcPr>
          <w:p>
            <w:pPr>
              <w:pStyle w:val="null3"/>
            </w:pPr>
            <w:r>
              <w:rPr/>
              <w:t>非联合体投标声明</w:t>
            </w:r>
          </w:p>
        </w:tc>
        <w:tc>
          <w:tcPr>
            <w:tcW w:type="dxa" w:w="3322"/>
          </w:tcPr>
          <w:p>
            <w:pPr>
              <w:pStyle w:val="null3"/>
            </w:pPr>
            <w:r>
              <w:rPr/>
              <w:t>本项目不接受联合体投标。</w:t>
            </w:r>
          </w:p>
        </w:tc>
        <w:tc>
          <w:tcPr>
            <w:tcW w:type="dxa" w:w="1661"/>
          </w:tcPr>
          <w:p>
            <w:pPr>
              <w:pStyle w:val="null3"/>
            </w:pPr>
            <w:r>
              <w:rPr/>
              <w:t>资格证明资料 供应商承诺书</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资格证明资料 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投标文件签字盖章</w:t>
            </w:r>
          </w:p>
        </w:tc>
        <w:tc>
          <w:tcPr>
            <w:tcW w:type="dxa" w:w="3322"/>
          </w:tcPr>
          <w:p>
            <w:pPr>
              <w:pStyle w:val="null3"/>
            </w:pPr>
            <w:r>
              <w:rPr/>
              <w:t>符合招标文件要求</w:t>
            </w:r>
          </w:p>
        </w:tc>
        <w:tc>
          <w:tcPr>
            <w:tcW w:type="dxa" w:w="1661"/>
          </w:tcPr>
          <w:p>
            <w:pPr>
              <w:pStyle w:val="null3"/>
            </w:pPr>
            <w:r>
              <w:rPr/>
              <w:t>开标一览表 中小企业声明函 商务应答表 技术方案 企业业绩 资格证明资料 产品技术参数表 投标函 残疾人福利性单位声明函 标的清单 投标文件封面 供应商承诺书 监狱企业的证明文件</w:t>
            </w:r>
          </w:p>
        </w:tc>
      </w:tr>
      <w:tr>
        <w:tc>
          <w:tcPr>
            <w:tcW w:type="dxa" w:w="831"/>
          </w:tcPr>
          <w:p>
            <w:pPr>
              <w:pStyle w:val="null3"/>
            </w:pPr>
            <w:r>
              <w:rPr/>
              <w:t>3</w:t>
            </w:r>
          </w:p>
        </w:tc>
        <w:tc>
          <w:tcPr>
            <w:tcW w:type="dxa" w:w="2492"/>
          </w:tcPr>
          <w:p>
            <w:pPr>
              <w:pStyle w:val="null3"/>
            </w:pPr>
            <w:r>
              <w:rPr/>
              <w:t>交货时间</w:t>
            </w:r>
          </w:p>
        </w:tc>
        <w:tc>
          <w:tcPr>
            <w:tcW w:type="dxa" w:w="3322"/>
          </w:tcPr>
          <w:p>
            <w:pPr>
              <w:pStyle w:val="null3"/>
            </w:pPr>
            <w:r>
              <w:rPr/>
              <w:t>满足招标文件中要求的交货时间</w:t>
            </w:r>
          </w:p>
        </w:tc>
        <w:tc>
          <w:tcPr>
            <w:tcW w:type="dxa" w:w="1661"/>
          </w:tcPr>
          <w:p>
            <w:pPr>
              <w:pStyle w:val="null3"/>
            </w:pPr>
            <w:r>
              <w:rPr/>
              <w:t>商务应答表</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满足招标文件要求</w:t>
            </w:r>
          </w:p>
        </w:tc>
        <w:tc>
          <w:tcPr>
            <w:tcW w:type="dxa" w:w="1661"/>
          </w:tcPr>
          <w:p>
            <w:pPr>
              <w:pStyle w:val="null3"/>
            </w:pPr>
            <w:r>
              <w:rPr/>
              <w:t>投标函 商务应答表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项目分析</w:t>
            </w:r>
          </w:p>
        </w:tc>
        <w:tc>
          <w:tcPr>
            <w:tcW w:type="dxa" w:w="2492"/>
          </w:tcPr>
          <w:p>
            <w:pPr>
              <w:pStyle w:val="null3"/>
            </w:pPr>
            <w:r>
              <w:rPr/>
              <w:t>对项目有深入的理解，从项目背景、建设思路、建设目标等方面进行阐述，并对项目实际需求进行分析。 优良得5-3分，一般得3-1分，较差得1-0分。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技术方案</w:t>
            </w:r>
          </w:p>
        </w:tc>
      </w:tr>
      <w:tr>
        <w:tc>
          <w:tcPr>
            <w:tcW w:type="dxa" w:w="831"/>
            <w:vMerge/>
          </w:tcPr>
          <w:p/>
        </w:tc>
        <w:tc>
          <w:tcPr>
            <w:tcW w:type="dxa" w:w="1661"/>
          </w:tcPr>
          <w:p>
            <w:pPr>
              <w:pStyle w:val="null3"/>
            </w:pPr>
            <w:r>
              <w:rPr/>
              <w:t>设计方案</w:t>
            </w:r>
          </w:p>
        </w:tc>
        <w:tc>
          <w:tcPr>
            <w:tcW w:type="dxa" w:w="2492"/>
          </w:tcPr>
          <w:p>
            <w:pPr>
              <w:pStyle w:val="null3"/>
            </w:pPr>
            <w:r>
              <w:rPr/>
              <w:t>按照磋商文件采购要求，从系统架构、技术路线、接口设计、数据规范设计等方面对系统进行整体设计，并对软件系统功能进行详细的描述。 优良得8-5分，一般得5-3分，较差得3-0分。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产品技术参数表</w:t>
            </w:r>
          </w:p>
          <w:p>
            <w:pPr>
              <w:pStyle w:val="null3"/>
            </w:pPr>
            <w:r>
              <w:rPr/>
              <w:t>技术方案</w:t>
            </w:r>
          </w:p>
        </w:tc>
      </w:tr>
      <w:tr>
        <w:tc>
          <w:tcPr>
            <w:tcW w:type="dxa" w:w="831"/>
            <w:vMerge/>
          </w:tcPr>
          <w:p/>
        </w:tc>
        <w:tc>
          <w:tcPr>
            <w:tcW w:type="dxa" w:w="1661"/>
          </w:tcPr>
          <w:p>
            <w:pPr>
              <w:pStyle w:val="null3"/>
            </w:pPr>
            <w:r>
              <w:rPr/>
              <w:t>实施方案</w:t>
            </w:r>
          </w:p>
        </w:tc>
        <w:tc>
          <w:tcPr>
            <w:tcW w:type="dxa" w:w="2492"/>
          </w:tcPr>
          <w:p>
            <w:pPr>
              <w:pStyle w:val="null3"/>
            </w:pPr>
            <w:r>
              <w:rPr/>
              <w:t>提供完整的项目实施方案，至少包含供货、安装调试、验收、进度计划安排等内容。 优良得10-6分，一般得6-3分，较差得3-0分。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技术方案</w:t>
            </w:r>
          </w:p>
          <w:p>
            <w:pPr>
              <w:pStyle w:val="null3"/>
            </w:pPr>
            <w:r>
              <w:rPr/>
              <w:t>商务应答表</w:t>
            </w:r>
          </w:p>
        </w:tc>
      </w:tr>
      <w:tr>
        <w:tc>
          <w:tcPr>
            <w:tcW w:type="dxa" w:w="831"/>
            <w:vMerge/>
          </w:tcPr>
          <w:p/>
        </w:tc>
        <w:tc>
          <w:tcPr>
            <w:tcW w:type="dxa" w:w="1661"/>
          </w:tcPr>
          <w:p>
            <w:pPr>
              <w:pStyle w:val="null3"/>
            </w:pPr>
            <w:r>
              <w:rPr/>
              <w:t>数据对接方案</w:t>
            </w:r>
          </w:p>
        </w:tc>
        <w:tc>
          <w:tcPr>
            <w:tcW w:type="dxa" w:w="2492"/>
          </w:tcPr>
          <w:p>
            <w:pPr>
              <w:pStyle w:val="null3"/>
            </w:pPr>
            <w:r>
              <w:rPr/>
              <w:t>供应商根据磋商文件要求，为用户量身定制，使平台各个子系统功能满足需求，该平台提供标准API数据接口，实现区级智慧粮田数据监测指挥平台监控系统与种植生产管理系统接口数据对接，并提供详细的数据对接方案，方案切实可行，且描述准确清晰。 优良得8-5分，一般得5-3分，较差得3-0分。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产品技术参数表</w:t>
            </w:r>
          </w:p>
          <w:p>
            <w:pPr>
              <w:pStyle w:val="null3"/>
            </w:pPr>
            <w:r>
              <w:rPr/>
              <w:t>技术方案</w:t>
            </w:r>
          </w:p>
        </w:tc>
      </w:tr>
      <w:tr>
        <w:tc>
          <w:tcPr>
            <w:tcW w:type="dxa" w:w="831"/>
            <w:vMerge/>
          </w:tcPr>
          <w:p/>
        </w:tc>
        <w:tc>
          <w:tcPr>
            <w:tcW w:type="dxa" w:w="1661"/>
          </w:tcPr>
          <w:p>
            <w:pPr>
              <w:pStyle w:val="null3"/>
            </w:pPr>
            <w:r>
              <w:rPr/>
              <w:t>人员配备</w:t>
            </w:r>
          </w:p>
        </w:tc>
        <w:tc>
          <w:tcPr>
            <w:tcW w:type="dxa" w:w="2492"/>
          </w:tcPr>
          <w:p>
            <w:pPr>
              <w:pStyle w:val="null3"/>
            </w:pPr>
            <w:r>
              <w:rPr/>
              <w:t>拟投入本项目的人员配置齐全、结构合理，具有相关工作经验，且满足项目需求。（需提供证书原件或扫描件，且在本单位缴纳社保证明或相关合作证明。） 优良得5-3分，一般得3-1分，较差得1-0分。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技术方案</w:t>
            </w:r>
          </w:p>
        </w:tc>
      </w:tr>
      <w:tr>
        <w:tc>
          <w:tcPr>
            <w:tcW w:type="dxa" w:w="831"/>
            <w:vMerge/>
          </w:tcPr>
          <w:p/>
        </w:tc>
        <w:tc>
          <w:tcPr>
            <w:tcW w:type="dxa" w:w="1661"/>
          </w:tcPr>
          <w:p>
            <w:pPr>
              <w:pStyle w:val="null3"/>
            </w:pPr>
            <w:r>
              <w:rPr/>
              <w:t>安全、质量保证措施</w:t>
            </w:r>
          </w:p>
        </w:tc>
        <w:tc>
          <w:tcPr>
            <w:tcW w:type="dxa" w:w="2492"/>
          </w:tcPr>
          <w:p>
            <w:pPr>
              <w:pStyle w:val="null3"/>
            </w:pPr>
            <w:r>
              <w:rPr/>
              <w:t>具有详细、可行的安全、质量保证措施。 优良得10-6分，一般得6-3分，较差得3-0分。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履约能力</w:t>
            </w:r>
          </w:p>
        </w:tc>
        <w:tc>
          <w:tcPr>
            <w:tcW w:type="dxa" w:w="2492"/>
          </w:tcPr>
          <w:p>
            <w:pPr>
              <w:pStyle w:val="null3"/>
            </w:pPr>
            <w:r>
              <w:rPr/>
              <w:t>（1）供应商具备与本项目相关软件的著作权或发明专利证书的，每提供1个得0.5分，最高不超过4分。 （2）具备国家级高新技术企业证书得 1 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产品技术参数表</w:t>
            </w:r>
          </w:p>
          <w:p>
            <w:pPr>
              <w:pStyle w:val="null3"/>
            </w:pPr>
            <w:r>
              <w:rPr/>
              <w:t>技术方案</w:t>
            </w:r>
          </w:p>
        </w:tc>
      </w:tr>
      <w:tr>
        <w:tc>
          <w:tcPr>
            <w:tcW w:type="dxa" w:w="831"/>
            <w:vMerge/>
          </w:tcPr>
          <w:p/>
        </w:tc>
        <w:tc>
          <w:tcPr>
            <w:tcW w:type="dxa" w:w="1661"/>
          </w:tcPr>
          <w:p>
            <w:pPr>
              <w:pStyle w:val="null3"/>
            </w:pPr>
            <w:r>
              <w:rPr/>
              <w:t>售后服务承诺</w:t>
            </w:r>
          </w:p>
        </w:tc>
        <w:tc>
          <w:tcPr>
            <w:tcW w:type="dxa" w:w="2492"/>
          </w:tcPr>
          <w:p>
            <w:pPr>
              <w:pStyle w:val="null3"/>
            </w:pPr>
            <w:r>
              <w:rPr/>
              <w:t>针对本项目提供具体、切实可行的售后服务方案，包括响应时间、人员配备、发生故障的应急措施、产品检修等。 优良得8-5分，一般得5-3分，较差得3-0分。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培训方案</w:t>
            </w:r>
          </w:p>
        </w:tc>
        <w:tc>
          <w:tcPr>
            <w:tcW w:type="dxa" w:w="2492"/>
          </w:tcPr>
          <w:p>
            <w:pPr>
              <w:pStyle w:val="null3"/>
            </w:pPr>
            <w:r>
              <w:rPr/>
              <w:t>提供具有针对性的培训方案，包括培训计划、培训内容、培训方式等，培训目标明确，培训方案合理、详尽。 优良得5-3分，一般得3-1分，较差得1-0分。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企业业绩</w:t>
            </w:r>
          </w:p>
        </w:tc>
        <w:tc>
          <w:tcPr>
            <w:tcW w:type="dxa" w:w="2492"/>
          </w:tcPr>
          <w:p>
            <w:pPr>
              <w:pStyle w:val="null3"/>
            </w:pPr>
            <w:r>
              <w:rPr/>
              <w:t>提供（2022年1月1日至今）类似业绩(以合同协议书或中标通知书为准），每提供一个得2分，最高不超过6分。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企业业绩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采用低价优先法计算，满足招标文件要求且投标价格最低的投标报价为评标基准价，其价格分为满分30分。 投标报价得分＝（评审基准价/投标报价）×30 评委会三分之二以上专家认为某投标报价有低于成本价嫌疑的，为无效投标报价。</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详见附件：开标一览表</w:t>
      </w:r>
    </w:p>
    <w:p>
      <w:pPr>
        <w:pStyle w:val="null3"/>
        <w:ind w:firstLine="960"/>
      </w:pPr>
      <w:r>
        <w:rPr/>
        <w:t>详见附件：标的清单</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详见附件：技术方案</w:t>
      </w:r>
    </w:p>
    <w:p>
      <w:pPr>
        <w:pStyle w:val="null3"/>
        <w:ind w:firstLine="960"/>
      </w:pPr>
      <w:r>
        <w:rPr/>
        <w:t>详见附件：企业业绩</w:t>
      </w:r>
    </w:p>
    <w:p>
      <w:pPr>
        <w:pStyle w:val="null3"/>
        <w:ind w:firstLine="960"/>
      </w:pPr>
      <w:r>
        <w:rPr/>
        <w:t>详见附件：资格证明资料</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详见附件：供应商承诺书</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详见附件：采购项目合同.docx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