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5CAC57">
      <w:pPr>
        <w:adjustRightInd w:val="0"/>
        <w:snapToGrid w:val="0"/>
        <w:jc w:val="left"/>
        <w:rPr>
          <w:rFonts w:ascii="宋体" w:hAnsi="宋体"/>
          <w:color w:val="000000"/>
          <w:sz w:val="24"/>
        </w:rPr>
      </w:pPr>
      <w:r>
        <w:rPr>
          <w:rFonts w:hint="eastAsia" w:ascii="宋体" w:hAnsi="宋体"/>
          <w:color w:val="000000"/>
          <w:sz w:val="24"/>
          <w:lang w:val="en-US" w:eastAsia="zh-CN"/>
        </w:rPr>
        <w:t>合同</w:t>
      </w:r>
      <w:r>
        <w:rPr>
          <w:rFonts w:hint="eastAsia" w:ascii="宋体" w:hAnsi="宋体"/>
          <w:color w:val="000000"/>
          <w:sz w:val="24"/>
        </w:rPr>
        <w:t>编号：</w:t>
      </w:r>
    </w:p>
    <w:p w14:paraId="72BC0155">
      <w:pPr>
        <w:adjustRightInd w:val="0"/>
        <w:snapToGrid w:val="0"/>
        <w:jc w:val="center"/>
        <w:rPr>
          <w:rFonts w:hint="eastAsia" w:ascii="宋体" w:hAnsi="宋体"/>
          <w:b/>
          <w:color w:val="000000"/>
          <w:sz w:val="24"/>
        </w:rPr>
      </w:pPr>
    </w:p>
    <w:p w14:paraId="20E08BF7">
      <w:pPr>
        <w:adjustRightInd w:val="0"/>
        <w:snapToGrid w:val="0"/>
        <w:jc w:val="center"/>
        <w:rPr>
          <w:rFonts w:hint="eastAsia" w:ascii="宋体" w:hAnsi="宋体"/>
          <w:b/>
          <w:color w:val="000000"/>
          <w:sz w:val="24"/>
        </w:rPr>
      </w:pPr>
    </w:p>
    <w:p w14:paraId="6BB1383A">
      <w:pPr>
        <w:adjustRightInd w:val="0"/>
        <w:snapToGrid w:val="0"/>
        <w:jc w:val="center"/>
        <w:rPr>
          <w:rFonts w:hint="eastAsia" w:ascii="宋体" w:hAnsi="宋体"/>
          <w:b/>
          <w:color w:val="000000"/>
          <w:sz w:val="24"/>
        </w:rPr>
      </w:pPr>
    </w:p>
    <w:p w14:paraId="6894F1B9">
      <w:pPr>
        <w:adjustRightInd w:val="0"/>
        <w:snapToGrid w:val="0"/>
        <w:jc w:val="center"/>
        <w:rPr>
          <w:rFonts w:hint="eastAsia" w:ascii="宋体" w:hAnsi="宋体"/>
          <w:b/>
          <w:color w:val="000000"/>
          <w:sz w:val="24"/>
        </w:rPr>
      </w:pPr>
    </w:p>
    <w:p w14:paraId="68537154">
      <w:pPr>
        <w:adjustRightInd w:val="0"/>
        <w:snapToGrid w:val="0"/>
        <w:jc w:val="center"/>
        <w:rPr>
          <w:rFonts w:hint="eastAsia" w:ascii="宋体" w:hAnsi="宋体"/>
          <w:b/>
          <w:color w:val="000000"/>
          <w:sz w:val="24"/>
        </w:rPr>
      </w:pPr>
    </w:p>
    <w:p w14:paraId="1897E69A">
      <w:pPr>
        <w:adjustRightInd w:val="0"/>
        <w:snapToGrid w:val="0"/>
        <w:jc w:val="center"/>
        <w:rPr>
          <w:rFonts w:hint="eastAsia" w:ascii="宋体" w:hAnsi="宋体"/>
          <w:b/>
          <w:color w:val="000000"/>
          <w:sz w:val="24"/>
        </w:rPr>
      </w:pPr>
    </w:p>
    <w:p w14:paraId="2B5C89B6">
      <w:pPr>
        <w:adjustRightInd w:val="0"/>
        <w:snapToGrid w:val="0"/>
        <w:jc w:val="center"/>
        <w:rPr>
          <w:rFonts w:hint="eastAsia" w:ascii="宋体" w:hAnsi="宋体"/>
          <w:b/>
          <w:color w:val="000000"/>
          <w:sz w:val="24"/>
        </w:rPr>
      </w:pPr>
    </w:p>
    <w:p w14:paraId="55DE9BB8">
      <w:pPr>
        <w:adjustRightInd w:val="0"/>
        <w:snapToGrid w:val="0"/>
        <w:jc w:val="center"/>
        <w:rPr>
          <w:rFonts w:hint="eastAsia" w:ascii="宋体" w:hAnsi="宋体"/>
          <w:b/>
          <w:color w:val="000000"/>
          <w:sz w:val="24"/>
        </w:rPr>
      </w:pPr>
    </w:p>
    <w:p w14:paraId="5777091C">
      <w:pPr>
        <w:adjustRightInd w:val="0"/>
        <w:snapToGrid w:val="0"/>
        <w:jc w:val="center"/>
        <w:rPr>
          <w:rFonts w:hint="eastAsia" w:ascii="宋体" w:hAnsi="宋体"/>
          <w:b/>
          <w:color w:val="000000"/>
          <w:sz w:val="24"/>
        </w:rPr>
      </w:pPr>
    </w:p>
    <w:p w14:paraId="230AF9EF">
      <w:pPr>
        <w:adjustRightInd w:val="0"/>
        <w:snapToGrid w:val="0"/>
        <w:spacing w:line="360" w:lineRule="auto"/>
        <w:jc w:val="center"/>
        <w:rPr>
          <w:rFonts w:hint="eastAsia" w:ascii="宋体" w:hAnsi="宋体"/>
          <w:b/>
          <w:color w:val="000000"/>
          <w:sz w:val="72"/>
          <w:szCs w:val="72"/>
        </w:rPr>
      </w:pPr>
      <w:r>
        <w:rPr>
          <w:rFonts w:hint="eastAsia" w:ascii="宋体" w:hAnsi="宋体"/>
          <w:b/>
          <w:color w:val="000000"/>
          <w:sz w:val="72"/>
          <w:szCs w:val="72"/>
        </w:rPr>
        <w:t>采购项目合同</w:t>
      </w:r>
    </w:p>
    <w:p w14:paraId="692B53F5">
      <w:pPr>
        <w:adjustRightInd w:val="0"/>
        <w:snapToGrid w:val="0"/>
        <w:spacing w:after="120" w:afterLines="50"/>
        <w:jc w:val="center"/>
        <w:rPr>
          <w:rFonts w:hint="eastAsia" w:ascii="宋体" w:hAnsi="宋体"/>
          <w:b/>
          <w:color w:val="000000"/>
          <w:sz w:val="24"/>
        </w:rPr>
      </w:pPr>
    </w:p>
    <w:p w14:paraId="49DB124B">
      <w:pPr>
        <w:adjustRightInd w:val="0"/>
        <w:snapToGrid w:val="0"/>
        <w:spacing w:after="120" w:afterLines="50"/>
        <w:jc w:val="center"/>
        <w:rPr>
          <w:rFonts w:hint="eastAsia" w:ascii="宋体" w:hAnsi="宋体"/>
          <w:b/>
          <w:color w:val="000000"/>
          <w:sz w:val="24"/>
        </w:rPr>
      </w:pPr>
    </w:p>
    <w:p w14:paraId="2902A615">
      <w:pPr>
        <w:adjustRightInd w:val="0"/>
        <w:snapToGrid w:val="0"/>
        <w:spacing w:after="120" w:afterLines="50"/>
        <w:jc w:val="center"/>
        <w:rPr>
          <w:rFonts w:hint="eastAsia" w:ascii="宋体" w:hAnsi="宋体"/>
          <w:b/>
          <w:color w:val="000000"/>
          <w:sz w:val="24"/>
        </w:rPr>
      </w:pPr>
    </w:p>
    <w:p w14:paraId="11E5453A">
      <w:pPr>
        <w:adjustRightInd w:val="0"/>
        <w:snapToGrid w:val="0"/>
        <w:spacing w:after="120" w:afterLines="50"/>
        <w:jc w:val="center"/>
        <w:rPr>
          <w:rFonts w:hint="eastAsia" w:ascii="宋体" w:hAnsi="宋体"/>
          <w:b/>
          <w:color w:val="000000"/>
          <w:sz w:val="24"/>
        </w:rPr>
      </w:pPr>
    </w:p>
    <w:p w14:paraId="64482C91">
      <w:pPr>
        <w:adjustRightInd w:val="0"/>
        <w:snapToGrid w:val="0"/>
        <w:spacing w:after="120" w:afterLines="50"/>
        <w:jc w:val="center"/>
        <w:rPr>
          <w:rFonts w:hint="eastAsia" w:ascii="宋体" w:hAnsi="宋体"/>
          <w:b/>
          <w:color w:val="000000"/>
          <w:sz w:val="24"/>
        </w:rPr>
      </w:pPr>
    </w:p>
    <w:p w14:paraId="6E5C25C2">
      <w:pPr>
        <w:adjustRightInd w:val="0"/>
        <w:snapToGrid w:val="0"/>
        <w:spacing w:after="120" w:afterLines="50"/>
        <w:jc w:val="center"/>
        <w:rPr>
          <w:rFonts w:hint="eastAsia" w:ascii="宋体" w:hAnsi="宋体"/>
          <w:b/>
          <w:color w:val="000000"/>
          <w:sz w:val="24"/>
        </w:rPr>
      </w:pPr>
    </w:p>
    <w:p w14:paraId="56D759FE">
      <w:pPr>
        <w:adjustRightInd w:val="0"/>
        <w:snapToGrid w:val="0"/>
        <w:spacing w:after="120" w:afterLines="50"/>
        <w:jc w:val="center"/>
        <w:rPr>
          <w:rFonts w:hint="eastAsia" w:ascii="宋体" w:hAnsi="宋体"/>
          <w:b/>
          <w:color w:val="000000"/>
          <w:sz w:val="24"/>
        </w:rPr>
      </w:pPr>
    </w:p>
    <w:p w14:paraId="6E4D0A80">
      <w:pPr>
        <w:adjustRightInd w:val="0"/>
        <w:snapToGrid w:val="0"/>
        <w:spacing w:after="120" w:afterLines="50"/>
        <w:jc w:val="center"/>
        <w:rPr>
          <w:rFonts w:hint="eastAsia" w:ascii="宋体" w:hAnsi="宋体"/>
          <w:b/>
          <w:color w:val="000000"/>
          <w:sz w:val="24"/>
        </w:rPr>
      </w:pPr>
    </w:p>
    <w:p w14:paraId="549C5240">
      <w:pPr>
        <w:adjustRightInd w:val="0"/>
        <w:snapToGrid w:val="0"/>
        <w:spacing w:after="120" w:afterLines="50"/>
        <w:jc w:val="center"/>
        <w:rPr>
          <w:rFonts w:hint="eastAsia" w:ascii="宋体" w:hAnsi="宋体"/>
          <w:b/>
          <w:color w:val="000000"/>
          <w:sz w:val="24"/>
        </w:rPr>
      </w:pPr>
    </w:p>
    <w:p w14:paraId="2F8B724A">
      <w:pPr>
        <w:adjustRightInd w:val="0"/>
        <w:snapToGrid w:val="0"/>
        <w:spacing w:after="120" w:afterLines="50"/>
        <w:jc w:val="center"/>
        <w:rPr>
          <w:rFonts w:hint="eastAsia" w:ascii="宋体" w:hAnsi="宋体"/>
          <w:b/>
          <w:color w:val="000000"/>
          <w:sz w:val="24"/>
        </w:rPr>
      </w:pPr>
    </w:p>
    <w:p w14:paraId="61898AFB">
      <w:pPr>
        <w:adjustRightInd w:val="0"/>
        <w:snapToGrid w:val="0"/>
        <w:spacing w:after="120" w:afterLines="50"/>
        <w:jc w:val="center"/>
        <w:rPr>
          <w:rFonts w:hint="eastAsia" w:ascii="宋体" w:hAnsi="宋体"/>
          <w:b/>
          <w:color w:val="000000"/>
          <w:sz w:val="24"/>
        </w:rPr>
      </w:pPr>
    </w:p>
    <w:p w14:paraId="3648ED95">
      <w:pPr>
        <w:adjustRightInd w:val="0"/>
        <w:snapToGrid w:val="0"/>
        <w:spacing w:after="120" w:afterLines="50"/>
        <w:jc w:val="center"/>
        <w:rPr>
          <w:rFonts w:hint="eastAsia" w:ascii="宋体" w:hAnsi="宋体"/>
          <w:b/>
          <w:color w:val="000000"/>
          <w:sz w:val="24"/>
        </w:rPr>
      </w:pPr>
    </w:p>
    <w:p w14:paraId="52A49DA0">
      <w:pPr>
        <w:adjustRightInd w:val="0"/>
        <w:snapToGrid w:val="0"/>
        <w:spacing w:after="120" w:afterLines="50"/>
        <w:jc w:val="center"/>
        <w:rPr>
          <w:rFonts w:hint="eastAsia" w:ascii="宋体" w:hAnsi="宋体"/>
          <w:b/>
          <w:color w:val="000000"/>
          <w:sz w:val="24"/>
        </w:rPr>
      </w:pPr>
    </w:p>
    <w:p w14:paraId="262C2075">
      <w:pPr>
        <w:pStyle w:val="4"/>
        <w:ind w:firstLine="210"/>
        <w:rPr>
          <w:rFonts w:hint="eastAsia"/>
        </w:rPr>
      </w:pPr>
    </w:p>
    <w:p w14:paraId="629181DC">
      <w:pPr>
        <w:adjustRightInd w:val="0"/>
        <w:snapToGrid w:val="0"/>
        <w:spacing w:after="120" w:afterLines="50"/>
        <w:jc w:val="center"/>
        <w:rPr>
          <w:rFonts w:hint="eastAsia" w:ascii="宋体" w:hAnsi="宋体"/>
          <w:b/>
          <w:color w:val="000000"/>
          <w:sz w:val="24"/>
        </w:rPr>
      </w:pPr>
    </w:p>
    <w:p w14:paraId="27E77F18">
      <w:pPr>
        <w:adjustRightInd w:val="0"/>
        <w:snapToGrid w:val="0"/>
        <w:spacing w:after="120" w:afterLines="50"/>
        <w:jc w:val="center"/>
        <w:rPr>
          <w:rFonts w:hint="eastAsia" w:ascii="宋体" w:hAnsi="宋体"/>
          <w:b/>
          <w:color w:val="000000"/>
          <w:sz w:val="24"/>
        </w:rPr>
      </w:pPr>
    </w:p>
    <w:p w14:paraId="512FE38A">
      <w:pPr>
        <w:adjustRightInd w:val="0"/>
        <w:snapToGrid w:val="0"/>
        <w:spacing w:after="120" w:afterLines="50"/>
        <w:jc w:val="center"/>
        <w:rPr>
          <w:rFonts w:hint="eastAsia" w:ascii="宋体" w:hAnsi="宋体"/>
          <w:b/>
          <w:color w:val="000000"/>
          <w:sz w:val="24"/>
        </w:rPr>
      </w:pPr>
      <w:bookmarkStart w:id="51" w:name="_GoBack"/>
      <w:bookmarkEnd w:id="51"/>
    </w:p>
    <w:p w14:paraId="23F132C6">
      <w:pPr>
        <w:adjustRightInd w:val="0"/>
        <w:snapToGrid w:val="0"/>
        <w:spacing w:after="120" w:afterLines="50"/>
        <w:jc w:val="center"/>
        <w:rPr>
          <w:rFonts w:hint="eastAsia" w:ascii="宋体" w:hAnsi="宋体"/>
          <w:b/>
          <w:color w:val="000000"/>
          <w:sz w:val="28"/>
          <w:szCs w:val="28"/>
        </w:rPr>
        <w:sectPr>
          <w:pgSz w:w="11906" w:h="16838"/>
          <w:pgMar w:top="1440" w:right="1800" w:bottom="1440" w:left="1800" w:header="851" w:footer="992" w:gutter="0"/>
          <w:cols w:space="425" w:num="1"/>
          <w:docGrid w:type="lines" w:linePitch="312" w:charSpace="0"/>
        </w:sectPr>
      </w:pPr>
      <w:r>
        <w:rPr>
          <w:rFonts w:hint="eastAsia" w:ascii="宋体" w:hAnsi="宋体"/>
          <w:b/>
          <w:color w:val="000000"/>
          <w:sz w:val="28"/>
          <w:szCs w:val="28"/>
        </w:rPr>
        <w:t>年  月  日</w:t>
      </w:r>
    </w:p>
    <w:p w14:paraId="2B13626D">
      <w:pPr>
        <w:adjustRightInd w:val="0"/>
        <w:snapToGrid w:val="0"/>
        <w:spacing w:line="360" w:lineRule="auto"/>
        <w:jc w:val="center"/>
        <w:rPr>
          <w:rFonts w:hint="default" w:ascii="宋体" w:hAnsi="宋体" w:eastAsia="宋体" w:cs="宋体"/>
          <w:b/>
          <w:color w:val="000000"/>
          <w:sz w:val="30"/>
          <w:szCs w:val="30"/>
          <w:lang w:val="en-US" w:eastAsia="zh-CN"/>
        </w:rPr>
      </w:pPr>
      <w:r>
        <w:rPr>
          <w:rFonts w:hint="eastAsia" w:ascii="宋体" w:hAnsi="宋体" w:cs="宋体"/>
          <w:b/>
          <w:color w:val="000000"/>
          <w:sz w:val="30"/>
          <w:szCs w:val="30"/>
          <w:lang w:val="en-US" w:eastAsia="zh-CN"/>
        </w:rPr>
        <w:t>采购项目合同</w:t>
      </w:r>
    </w:p>
    <w:p w14:paraId="1F5C034E">
      <w:pPr>
        <w:adjustRightInd w:val="0"/>
        <w:snapToGrid w:val="0"/>
        <w:spacing w:line="360" w:lineRule="auto"/>
        <w:rPr>
          <w:rFonts w:hint="eastAsia" w:ascii="宋体" w:hAnsi="宋体" w:eastAsia="宋体" w:cs="宋体"/>
          <w:b/>
          <w:color w:val="000000"/>
          <w:sz w:val="24"/>
          <w:szCs w:val="24"/>
        </w:rPr>
      </w:pPr>
      <w:r>
        <w:rPr>
          <w:rFonts w:hint="eastAsia" w:ascii="宋体" w:hAnsi="宋体" w:eastAsia="宋体" w:cs="宋体"/>
          <w:b/>
          <w:color w:val="000000"/>
          <w:sz w:val="24"/>
          <w:szCs w:val="24"/>
        </w:rPr>
        <w:t>甲方（全称）：</w:t>
      </w:r>
      <w:r>
        <w:rPr>
          <w:rFonts w:hint="eastAsia" w:ascii="宋体" w:hAnsi="宋体" w:eastAsia="宋体" w:cs="宋体"/>
          <w:b/>
          <w:color w:val="000000"/>
          <w:sz w:val="24"/>
          <w:szCs w:val="24"/>
          <w:u w:val="single"/>
        </w:rPr>
        <w:t xml:space="preserve">                                    </w:t>
      </w:r>
    </w:p>
    <w:p w14:paraId="35F36F37">
      <w:pPr>
        <w:adjustRightInd w:val="0"/>
        <w:snapToGrid w:val="0"/>
        <w:spacing w:line="360" w:lineRule="auto"/>
        <w:rPr>
          <w:rFonts w:hint="eastAsia" w:ascii="宋体" w:hAnsi="宋体" w:eastAsia="宋体" w:cs="宋体"/>
          <w:bCs/>
          <w:color w:val="000000"/>
          <w:sz w:val="24"/>
          <w:szCs w:val="24"/>
          <w:u w:val="single"/>
        </w:rPr>
      </w:pPr>
      <w:r>
        <w:rPr>
          <w:rFonts w:hint="eastAsia" w:ascii="宋体" w:hAnsi="宋体" w:eastAsia="宋体" w:cs="宋体"/>
          <w:b/>
          <w:color w:val="000000"/>
          <w:sz w:val="24"/>
          <w:szCs w:val="24"/>
        </w:rPr>
        <w:t>乙方（全称）：</w:t>
      </w:r>
      <w:r>
        <w:rPr>
          <w:rFonts w:hint="eastAsia" w:ascii="宋体" w:hAnsi="宋体" w:eastAsia="宋体" w:cs="宋体"/>
          <w:b/>
          <w:color w:val="000000"/>
          <w:sz w:val="24"/>
          <w:szCs w:val="24"/>
          <w:u w:val="single"/>
        </w:rPr>
        <w:t xml:space="preserve"> </w:t>
      </w:r>
      <w:r>
        <w:rPr>
          <w:rFonts w:hint="eastAsia" w:ascii="宋体" w:hAnsi="宋体" w:eastAsia="宋体" w:cs="宋体"/>
          <w:bCs/>
          <w:color w:val="000000"/>
          <w:sz w:val="24"/>
          <w:szCs w:val="24"/>
          <w:u w:val="single"/>
        </w:rPr>
        <w:t xml:space="preserve">                                   </w:t>
      </w:r>
    </w:p>
    <w:p w14:paraId="3F6EDD27">
      <w:pPr>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根据《中华人民共和国民法典》及其他有关法律、法规，遵循平等、自愿、公平和诚信的原则，双方就下述项目范围与相关服务事项协商一致，订立本合同。</w:t>
      </w:r>
    </w:p>
    <w:p w14:paraId="272E3016">
      <w:pPr>
        <w:keepNext/>
        <w:spacing w:line="360" w:lineRule="auto"/>
        <w:ind w:firstLine="482" w:firstLineChars="200"/>
        <w:outlineLvl w:val="1"/>
        <w:rPr>
          <w:rFonts w:hint="eastAsia" w:ascii="宋体" w:hAnsi="宋体" w:eastAsia="宋体" w:cs="宋体"/>
          <w:b/>
          <w:color w:val="000000"/>
          <w:sz w:val="24"/>
          <w:szCs w:val="24"/>
        </w:rPr>
      </w:pPr>
      <w:bookmarkStart w:id="0" w:name="_Toc97107710"/>
      <w:bookmarkStart w:id="1" w:name="_Toc521307606"/>
      <w:bookmarkStart w:id="2" w:name="_Toc97107603"/>
      <w:r>
        <w:rPr>
          <w:rFonts w:hint="eastAsia" w:ascii="宋体" w:hAnsi="宋体" w:eastAsia="宋体" w:cs="宋体"/>
          <w:b/>
          <w:color w:val="000000"/>
          <w:sz w:val="24"/>
          <w:szCs w:val="24"/>
          <w:lang w:val="zh-CN"/>
        </w:rPr>
        <w:t>一、项目概况</w:t>
      </w:r>
      <w:bookmarkEnd w:id="0"/>
      <w:bookmarkEnd w:id="1"/>
      <w:bookmarkEnd w:id="2"/>
    </w:p>
    <w:p w14:paraId="1B19C8C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 项目名称：</w:t>
      </w:r>
      <w:r>
        <w:rPr>
          <w:rFonts w:hint="eastAsia" w:ascii="宋体" w:hAnsi="宋体" w:eastAsia="宋体" w:cs="宋体"/>
          <w:color w:val="000000"/>
          <w:sz w:val="24"/>
          <w:szCs w:val="24"/>
          <w:u w:val="single"/>
        </w:rPr>
        <w:t xml:space="preserve">                     </w:t>
      </w:r>
    </w:p>
    <w:p w14:paraId="3889E7A7">
      <w:pPr>
        <w:adjustRightInd w:val="0"/>
        <w:snapToGrid w:val="0"/>
        <w:spacing w:line="360" w:lineRule="auto"/>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2. 项目地点：</w:t>
      </w:r>
      <w:r>
        <w:rPr>
          <w:rFonts w:hint="eastAsia" w:ascii="宋体" w:hAnsi="宋体" w:eastAsia="宋体" w:cs="宋体"/>
          <w:color w:val="000000"/>
          <w:sz w:val="24"/>
          <w:szCs w:val="24"/>
          <w:u w:val="single"/>
        </w:rPr>
        <w:t xml:space="preserve">                     </w:t>
      </w:r>
    </w:p>
    <w:p w14:paraId="46E3E504">
      <w:pPr>
        <w:adjustRightInd w:val="0"/>
        <w:snapToGrid w:val="0"/>
        <w:spacing w:line="360" w:lineRule="auto"/>
        <w:ind w:firstLine="475" w:firstLineChars="198"/>
        <w:rPr>
          <w:rFonts w:hint="eastAsia" w:ascii="宋体" w:hAnsi="宋体" w:eastAsia="宋体" w:cs="宋体"/>
          <w:color w:val="000000"/>
          <w:sz w:val="24"/>
          <w:szCs w:val="24"/>
          <w:u w:val="single"/>
        </w:rPr>
      </w:pPr>
      <w:r>
        <w:rPr>
          <w:rFonts w:hint="eastAsia" w:ascii="宋体" w:hAnsi="宋体" w:eastAsia="宋体" w:cs="宋体"/>
          <w:color w:val="000000"/>
          <w:sz w:val="24"/>
          <w:szCs w:val="24"/>
        </w:rPr>
        <w:t>3. 项目内容：</w:t>
      </w:r>
      <w:r>
        <w:rPr>
          <w:rFonts w:hint="eastAsia" w:ascii="宋体" w:hAnsi="宋体" w:eastAsia="宋体" w:cs="宋体"/>
          <w:color w:val="000000"/>
          <w:sz w:val="24"/>
          <w:szCs w:val="24"/>
          <w:u w:val="single"/>
        </w:rPr>
        <w:t xml:space="preserve">                     </w:t>
      </w:r>
    </w:p>
    <w:p w14:paraId="4DF32A28">
      <w:pPr>
        <w:adjustRightInd w:val="0"/>
        <w:snapToGrid w:val="0"/>
        <w:spacing w:line="360" w:lineRule="auto"/>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4．项目交货期：</w:t>
      </w:r>
      <w:r>
        <w:rPr>
          <w:rFonts w:hint="eastAsia" w:ascii="宋体" w:hAnsi="宋体" w:eastAsia="宋体" w:cs="宋体"/>
          <w:color w:val="000000"/>
          <w:sz w:val="24"/>
          <w:szCs w:val="24"/>
          <w:u w:val="single"/>
        </w:rPr>
        <w:t xml:space="preserve">                   </w:t>
      </w:r>
    </w:p>
    <w:p w14:paraId="2EC4554D">
      <w:pPr>
        <w:keepNext/>
        <w:spacing w:line="360" w:lineRule="auto"/>
        <w:ind w:firstLine="482" w:firstLineChars="200"/>
        <w:outlineLvl w:val="1"/>
        <w:rPr>
          <w:rFonts w:hint="eastAsia" w:ascii="宋体" w:hAnsi="宋体" w:eastAsia="宋体" w:cs="宋体"/>
          <w:b/>
          <w:color w:val="000000"/>
          <w:sz w:val="24"/>
          <w:szCs w:val="24"/>
          <w:lang w:val="zh-CN"/>
        </w:rPr>
      </w:pPr>
      <w:bookmarkStart w:id="3" w:name="_Toc97107711"/>
      <w:bookmarkStart w:id="4" w:name="_Toc97107604"/>
      <w:bookmarkStart w:id="5" w:name="_Toc521307607"/>
      <w:r>
        <w:rPr>
          <w:rFonts w:hint="eastAsia" w:ascii="宋体" w:hAnsi="宋体" w:eastAsia="宋体" w:cs="宋体"/>
          <w:b/>
          <w:color w:val="000000"/>
          <w:sz w:val="24"/>
          <w:szCs w:val="24"/>
          <w:lang w:val="zh-CN"/>
        </w:rPr>
        <w:t>二、合同清单及金额</w:t>
      </w:r>
      <w:bookmarkEnd w:id="3"/>
      <w:bookmarkEnd w:id="4"/>
      <w:bookmarkEnd w:id="5"/>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6"/>
        <w:gridCol w:w="1550"/>
        <w:gridCol w:w="883"/>
        <w:gridCol w:w="983"/>
        <w:gridCol w:w="1480"/>
        <w:gridCol w:w="1370"/>
        <w:gridCol w:w="904"/>
      </w:tblGrid>
      <w:tr w14:paraId="4E4F5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trPr>
        <w:tc>
          <w:tcPr>
            <w:tcW w:w="1336" w:type="dxa"/>
            <w:tcBorders>
              <w:top w:val="single" w:color="auto" w:sz="4" w:space="0"/>
              <w:left w:val="single" w:color="auto" w:sz="4" w:space="0"/>
              <w:bottom w:val="single" w:color="auto" w:sz="4" w:space="0"/>
              <w:right w:val="single" w:color="auto" w:sz="4" w:space="0"/>
            </w:tcBorders>
            <w:noWrap w:val="0"/>
            <w:vAlign w:val="center"/>
          </w:tcPr>
          <w:p w14:paraId="2B41082C">
            <w:pPr>
              <w:widowControl/>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项目名称</w:t>
            </w:r>
          </w:p>
        </w:tc>
        <w:tc>
          <w:tcPr>
            <w:tcW w:w="1550" w:type="dxa"/>
            <w:tcBorders>
              <w:top w:val="single" w:color="auto" w:sz="4" w:space="0"/>
              <w:left w:val="single" w:color="auto" w:sz="4" w:space="0"/>
              <w:bottom w:val="single" w:color="auto" w:sz="4" w:space="0"/>
              <w:right w:val="single" w:color="auto" w:sz="4" w:space="0"/>
            </w:tcBorders>
            <w:noWrap w:val="0"/>
            <w:vAlign w:val="center"/>
          </w:tcPr>
          <w:p w14:paraId="6580EABC">
            <w:pPr>
              <w:widowControl/>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品牌规格</w:t>
            </w:r>
          </w:p>
        </w:tc>
        <w:tc>
          <w:tcPr>
            <w:tcW w:w="883" w:type="dxa"/>
            <w:tcBorders>
              <w:top w:val="single" w:color="auto" w:sz="4" w:space="0"/>
              <w:left w:val="single" w:color="auto" w:sz="4" w:space="0"/>
              <w:bottom w:val="single" w:color="auto" w:sz="4" w:space="0"/>
              <w:right w:val="single" w:color="auto" w:sz="4" w:space="0"/>
            </w:tcBorders>
            <w:noWrap w:val="0"/>
            <w:vAlign w:val="center"/>
          </w:tcPr>
          <w:p w14:paraId="643C5E21">
            <w:pPr>
              <w:spacing w:line="360" w:lineRule="auto"/>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单位</w:t>
            </w:r>
          </w:p>
        </w:tc>
        <w:tc>
          <w:tcPr>
            <w:tcW w:w="983" w:type="dxa"/>
            <w:tcBorders>
              <w:top w:val="single" w:color="auto" w:sz="4" w:space="0"/>
              <w:left w:val="single" w:color="auto" w:sz="4" w:space="0"/>
              <w:bottom w:val="single" w:color="auto" w:sz="4" w:space="0"/>
              <w:right w:val="single" w:color="auto" w:sz="4" w:space="0"/>
            </w:tcBorders>
            <w:noWrap w:val="0"/>
            <w:vAlign w:val="center"/>
          </w:tcPr>
          <w:p w14:paraId="63366B96">
            <w:pPr>
              <w:spacing w:line="360" w:lineRule="auto"/>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数量</w:t>
            </w:r>
          </w:p>
        </w:tc>
        <w:tc>
          <w:tcPr>
            <w:tcW w:w="1480" w:type="dxa"/>
            <w:tcBorders>
              <w:top w:val="single" w:color="auto" w:sz="4" w:space="0"/>
              <w:left w:val="single" w:color="auto" w:sz="4" w:space="0"/>
              <w:bottom w:val="single" w:color="auto" w:sz="4" w:space="0"/>
              <w:right w:val="single" w:color="auto" w:sz="4" w:space="0"/>
            </w:tcBorders>
            <w:noWrap w:val="0"/>
            <w:vAlign w:val="center"/>
          </w:tcPr>
          <w:p w14:paraId="6B598F2A">
            <w:pPr>
              <w:spacing w:line="360" w:lineRule="auto"/>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单价（元）</w:t>
            </w:r>
          </w:p>
        </w:tc>
        <w:tc>
          <w:tcPr>
            <w:tcW w:w="1370" w:type="dxa"/>
            <w:tcBorders>
              <w:top w:val="single" w:color="auto" w:sz="4" w:space="0"/>
              <w:left w:val="single" w:color="auto" w:sz="4" w:space="0"/>
              <w:bottom w:val="single" w:color="auto" w:sz="4" w:space="0"/>
              <w:right w:val="single" w:color="auto" w:sz="4" w:space="0"/>
            </w:tcBorders>
            <w:noWrap w:val="0"/>
            <w:vAlign w:val="center"/>
          </w:tcPr>
          <w:p w14:paraId="24270F7F">
            <w:pPr>
              <w:spacing w:line="360" w:lineRule="auto"/>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总价（元）</w:t>
            </w:r>
          </w:p>
        </w:tc>
        <w:tc>
          <w:tcPr>
            <w:tcW w:w="904" w:type="dxa"/>
            <w:tcBorders>
              <w:top w:val="single" w:color="auto" w:sz="4" w:space="0"/>
              <w:left w:val="single" w:color="auto" w:sz="4" w:space="0"/>
              <w:bottom w:val="single" w:color="auto" w:sz="4" w:space="0"/>
              <w:right w:val="single" w:color="auto" w:sz="4" w:space="0"/>
            </w:tcBorders>
            <w:noWrap w:val="0"/>
            <w:vAlign w:val="center"/>
          </w:tcPr>
          <w:p w14:paraId="66B9CE66">
            <w:pPr>
              <w:spacing w:line="360" w:lineRule="auto"/>
              <w:ind w:right="-99"/>
              <w:jc w:val="center"/>
              <w:rPr>
                <w:rFonts w:hint="eastAsia" w:ascii="宋体" w:hAnsi="宋体" w:eastAsia="宋体" w:cs="宋体"/>
                <w:color w:val="000000"/>
                <w:sz w:val="24"/>
                <w:szCs w:val="24"/>
              </w:rPr>
            </w:pPr>
            <w:r>
              <w:rPr>
                <w:rFonts w:hint="eastAsia" w:ascii="宋体" w:hAnsi="宋体" w:eastAsia="宋体" w:cs="宋体"/>
                <w:color w:val="000000"/>
                <w:sz w:val="24"/>
                <w:szCs w:val="24"/>
              </w:rPr>
              <w:t>备注</w:t>
            </w:r>
          </w:p>
        </w:tc>
      </w:tr>
      <w:tr w14:paraId="2718A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336" w:type="dxa"/>
            <w:tcBorders>
              <w:top w:val="single" w:color="auto" w:sz="4" w:space="0"/>
              <w:left w:val="single" w:color="auto" w:sz="4" w:space="0"/>
              <w:bottom w:val="single" w:color="auto" w:sz="4" w:space="0"/>
              <w:right w:val="single" w:color="auto" w:sz="4" w:space="0"/>
            </w:tcBorders>
            <w:noWrap w:val="0"/>
            <w:vAlign w:val="center"/>
          </w:tcPr>
          <w:p w14:paraId="13F1591B">
            <w:pPr>
              <w:widowControl/>
              <w:spacing w:line="360" w:lineRule="auto"/>
              <w:jc w:val="center"/>
              <w:rPr>
                <w:rFonts w:hint="eastAsia" w:ascii="宋体" w:hAnsi="宋体" w:eastAsia="宋体" w:cs="宋体"/>
                <w:color w:val="000000"/>
                <w:sz w:val="24"/>
                <w:szCs w:val="24"/>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43912CB9">
            <w:pPr>
              <w:widowControl/>
              <w:spacing w:line="360" w:lineRule="auto"/>
              <w:jc w:val="center"/>
              <w:rPr>
                <w:rFonts w:hint="eastAsia" w:ascii="宋体" w:hAnsi="宋体" w:eastAsia="宋体" w:cs="宋体"/>
                <w:color w:val="000000"/>
                <w:sz w:val="24"/>
                <w:szCs w:val="24"/>
              </w:rPr>
            </w:pPr>
          </w:p>
        </w:tc>
        <w:tc>
          <w:tcPr>
            <w:tcW w:w="883" w:type="dxa"/>
            <w:tcBorders>
              <w:top w:val="single" w:color="auto" w:sz="4" w:space="0"/>
              <w:left w:val="single" w:color="auto" w:sz="4" w:space="0"/>
              <w:bottom w:val="single" w:color="auto" w:sz="4" w:space="0"/>
              <w:right w:val="single" w:color="auto" w:sz="4" w:space="0"/>
            </w:tcBorders>
            <w:noWrap w:val="0"/>
            <w:vAlign w:val="center"/>
          </w:tcPr>
          <w:p w14:paraId="6F8CCE96">
            <w:pPr>
              <w:spacing w:line="360" w:lineRule="auto"/>
              <w:ind w:right="-99"/>
              <w:jc w:val="center"/>
              <w:rPr>
                <w:rFonts w:hint="eastAsia" w:ascii="宋体" w:hAnsi="宋体" w:eastAsia="宋体" w:cs="宋体"/>
                <w:color w:val="000000"/>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37E4881E">
            <w:pPr>
              <w:spacing w:line="360" w:lineRule="auto"/>
              <w:ind w:right="-99"/>
              <w:jc w:val="center"/>
              <w:rPr>
                <w:rFonts w:hint="eastAsia" w:ascii="宋体" w:hAnsi="宋体" w:eastAsia="宋体" w:cs="宋体"/>
                <w:color w:val="000000"/>
                <w:sz w:val="24"/>
                <w:szCs w:val="24"/>
              </w:rPr>
            </w:pPr>
          </w:p>
        </w:tc>
        <w:tc>
          <w:tcPr>
            <w:tcW w:w="1480" w:type="dxa"/>
            <w:tcBorders>
              <w:top w:val="single" w:color="auto" w:sz="4" w:space="0"/>
              <w:left w:val="single" w:color="auto" w:sz="4" w:space="0"/>
              <w:bottom w:val="single" w:color="auto" w:sz="4" w:space="0"/>
              <w:right w:val="single" w:color="auto" w:sz="4" w:space="0"/>
            </w:tcBorders>
            <w:noWrap w:val="0"/>
            <w:vAlign w:val="center"/>
          </w:tcPr>
          <w:p w14:paraId="0354852F">
            <w:pPr>
              <w:spacing w:line="360" w:lineRule="auto"/>
              <w:ind w:right="-99"/>
              <w:jc w:val="center"/>
              <w:rPr>
                <w:rFonts w:hint="eastAsia" w:ascii="宋体" w:hAnsi="宋体" w:eastAsia="宋体" w:cs="宋体"/>
                <w:color w:val="000000"/>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45A15B4E">
            <w:pPr>
              <w:spacing w:line="360" w:lineRule="auto"/>
              <w:ind w:right="-99"/>
              <w:jc w:val="center"/>
              <w:rPr>
                <w:rFonts w:hint="eastAsia" w:ascii="宋体" w:hAnsi="宋体" w:eastAsia="宋体" w:cs="宋体"/>
                <w:color w:val="000000"/>
                <w:sz w:val="24"/>
                <w:szCs w:val="24"/>
              </w:rPr>
            </w:pPr>
          </w:p>
        </w:tc>
        <w:tc>
          <w:tcPr>
            <w:tcW w:w="904" w:type="dxa"/>
            <w:tcBorders>
              <w:top w:val="single" w:color="auto" w:sz="4" w:space="0"/>
              <w:left w:val="single" w:color="auto" w:sz="4" w:space="0"/>
              <w:bottom w:val="single" w:color="auto" w:sz="4" w:space="0"/>
              <w:right w:val="single" w:color="auto" w:sz="4" w:space="0"/>
            </w:tcBorders>
            <w:noWrap w:val="0"/>
            <w:vAlign w:val="center"/>
          </w:tcPr>
          <w:p w14:paraId="7DFB03A8">
            <w:pPr>
              <w:spacing w:line="360" w:lineRule="auto"/>
              <w:ind w:right="-99"/>
              <w:jc w:val="left"/>
              <w:rPr>
                <w:rFonts w:hint="eastAsia" w:ascii="宋体" w:hAnsi="宋体" w:eastAsia="宋体" w:cs="宋体"/>
                <w:color w:val="000000"/>
                <w:sz w:val="24"/>
                <w:szCs w:val="24"/>
              </w:rPr>
            </w:pPr>
          </w:p>
        </w:tc>
      </w:tr>
      <w:tr w14:paraId="3384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336" w:type="dxa"/>
            <w:tcBorders>
              <w:top w:val="single" w:color="auto" w:sz="4" w:space="0"/>
              <w:left w:val="single" w:color="auto" w:sz="4" w:space="0"/>
              <w:bottom w:val="single" w:color="auto" w:sz="4" w:space="0"/>
              <w:right w:val="single" w:color="auto" w:sz="4" w:space="0"/>
            </w:tcBorders>
            <w:noWrap w:val="0"/>
            <w:vAlign w:val="center"/>
          </w:tcPr>
          <w:p w14:paraId="26EA7D87">
            <w:pPr>
              <w:widowControl/>
              <w:spacing w:line="360" w:lineRule="auto"/>
              <w:jc w:val="center"/>
              <w:rPr>
                <w:rFonts w:hint="eastAsia" w:ascii="宋体" w:hAnsi="宋体" w:eastAsia="宋体" w:cs="宋体"/>
                <w:color w:val="000000"/>
                <w:sz w:val="24"/>
                <w:szCs w:val="24"/>
              </w:rPr>
            </w:pPr>
          </w:p>
        </w:tc>
        <w:tc>
          <w:tcPr>
            <w:tcW w:w="1550" w:type="dxa"/>
            <w:tcBorders>
              <w:top w:val="single" w:color="auto" w:sz="4" w:space="0"/>
              <w:left w:val="single" w:color="auto" w:sz="4" w:space="0"/>
              <w:bottom w:val="single" w:color="auto" w:sz="4" w:space="0"/>
              <w:right w:val="single" w:color="auto" w:sz="4" w:space="0"/>
            </w:tcBorders>
            <w:noWrap w:val="0"/>
            <w:vAlign w:val="center"/>
          </w:tcPr>
          <w:p w14:paraId="1CE33AFA">
            <w:pPr>
              <w:widowControl/>
              <w:spacing w:line="360" w:lineRule="auto"/>
              <w:jc w:val="center"/>
              <w:rPr>
                <w:rFonts w:hint="eastAsia" w:ascii="宋体" w:hAnsi="宋体" w:eastAsia="宋体" w:cs="宋体"/>
                <w:color w:val="000000"/>
                <w:sz w:val="24"/>
                <w:szCs w:val="24"/>
              </w:rPr>
            </w:pPr>
          </w:p>
        </w:tc>
        <w:tc>
          <w:tcPr>
            <w:tcW w:w="883" w:type="dxa"/>
            <w:tcBorders>
              <w:top w:val="single" w:color="auto" w:sz="4" w:space="0"/>
              <w:left w:val="single" w:color="auto" w:sz="4" w:space="0"/>
              <w:bottom w:val="single" w:color="auto" w:sz="4" w:space="0"/>
              <w:right w:val="single" w:color="auto" w:sz="4" w:space="0"/>
            </w:tcBorders>
            <w:noWrap w:val="0"/>
            <w:vAlign w:val="center"/>
          </w:tcPr>
          <w:p w14:paraId="3061E3C7">
            <w:pPr>
              <w:spacing w:line="360" w:lineRule="auto"/>
              <w:ind w:right="-99"/>
              <w:jc w:val="center"/>
              <w:rPr>
                <w:rFonts w:hint="eastAsia" w:ascii="宋体" w:hAnsi="宋体" w:eastAsia="宋体" w:cs="宋体"/>
                <w:color w:val="000000"/>
                <w:sz w:val="24"/>
                <w:szCs w:val="24"/>
              </w:rPr>
            </w:pPr>
          </w:p>
        </w:tc>
        <w:tc>
          <w:tcPr>
            <w:tcW w:w="983" w:type="dxa"/>
            <w:tcBorders>
              <w:top w:val="single" w:color="auto" w:sz="4" w:space="0"/>
              <w:left w:val="single" w:color="auto" w:sz="4" w:space="0"/>
              <w:bottom w:val="single" w:color="auto" w:sz="4" w:space="0"/>
              <w:right w:val="single" w:color="auto" w:sz="4" w:space="0"/>
            </w:tcBorders>
            <w:noWrap w:val="0"/>
            <w:vAlign w:val="center"/>
          </w:tcPr>
          <w:p w14:paraId="527DD30B">
            <w:pPr>
              <w:spacing w:line="360" w:lineRule="auto"/>
              <w:ind w:right="-99"/>
              <w:jc w:val="center"/>
              <w:rPr>
                <w:rFonts w:hint="eastAsia" w:ascii="宋体" w:hAnsi="宋体" w:eastAsia="宋体" w:cs="宋体"/>
                <w:color w:val="000000"/>
                <w:sz w:val="24"/>
                <w:szCs w:val="24"/>
              </w:rPr>
            </w:pPr>
          </w:p>
        </w:tc>
        <w:tc>
          <w:tcPr>
            <w:tcW w:w="1480" w:type="dxa"/>
            <w:tcBorders>
              <w:top w:val="single" w:color="auto" w:sz="4" w:space="0"/>
              <w:left w:val="single" w:color="auto" w:sz="4" w:space="0"/>
              <w:bottom w:val="single" w:color="auto" w:sz="4" w:space="0"/>
              <w:right w:val="single" w:color="auto" w:sz="4" w:space="0"/>
            </w:tcBorders>
            <w:noWrap w:val="0"/>
            <w:vAlign w:val="center"/>
          </w:tcPr>
          <w:p w14:paraId="3E4FC8E4">
            <w:pPr>
              <w:spacing w:line="360" w:lineRule="auto"/>
              <w:ind w:right="-99"/>
              <w:jc w:val="center"/>
              <w:rPr>
                <w:rFonts w:hint="eastAsia" w:ascii="宋体" w:hAnsi="宋体" w:eastAsia="宋体" w:cs="宋体"/>
                <w:color w:val="000000"/>
                <w:sz w:val="24"/>
                <w:szCs w:val="24"/>
              </w:rPr>
            </w:pPr>
          </w:p>
        </w:tc>
        <w:tc>
          <w:tcPr>
            <w:tcW w:w="1370" w:type="dxa"/>
            <w:tcBorders>
              <w:top w:val="single" w:color="auto" w:sz="4" w:space="0"/>
              <w:left w:val="single" w:color="auto" w:sz="4" w:space="0"/>
              <w:bottom w:val="single" w:color="auto" w:sz="4" w:space="0"/>
              <w:right w:val="single" w:color="auto" w:sz="4" w:space="0"/>
            </w:tcBorders>
            <w:noWrap w:val="0"/>
            <w:vAlign w:val="center"/>
          </w:tcPr>
          <w:p w14:paraId="51C84665">
            <w:pPr>
              <w:spacing w:line="360" w:lineRule="auto"/>
              <w:ind w:right="-99"/>
              <w:jc w:val="center"/>
              <w:rPr>
                <w:rFonts w:hint="eastAsia" w:ascii="宋体" w:hAnsi="宋体" w:eastAsia="宋体" w:cs="宋体"/>
                <w:color w:val="000000"/>
                <w:sz w:val="24"/>
                <w:szCs w:val="24"/>
              </w:rPr>
            </w:pPr>
          </w:p>
        </w:tc>
        <w:tc>
          <w:tcPr>
            <w:tcW w:w="904" w:type="dxa"/>
            <w:tcBorders>
              <w:top w:val="single" w:color="auto" w:sz="4" w:space="0"/>
              <w:left w:val="single" w:color="auto" w:sz="4" w:space="0"/>
              <w:bottom w:val="single" w:color="auto" w:sz="4" w:space="0"/>
              <w:right w:val="single" w:color="auto" w:sz="4" w:space="0"/>
            </w:tcBorders>
            <w:noWrap w:val="0"/>
            <w:vAlign w:val="center"/>
          </w:tcPr>
          <w:p w14:paraId="3A83F927">
            <w:pPr>
              <w:spacing w:line="360" w:lineRule="auto"/>
              <w:ind w:right="-99"/>
              <w:jc w:val="left"/>
              <w:rPr>
                <w:rFonts w:hint="eastAsia" w:ascii="宋体" w:hAnsi="宋体" w:eastAsia="宋体" w:cs="宋体"/>
                <w:color w:val="000000"/>
                <w:sz w:val="24"/>
                <w:szCs w:val="24"/>
              </w:rPr>
            </w:pPr>
          </w:p>
        </w:tc>
      </w:tr>
      <w:tr w14:paraId="70E4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trPr>
        <w:tc>
          <w:tcPr>
            <w:tcW w:w="1336" w:type="dxa"/>
            <w:tcBorders>
              <w:top w:val="single" w:color="auto" w:sz="4" w:space="0"/>
              <w:left w:val="single" w:color="auto" w:sz="4" w:space="0"/>
              <w:bottom w:val="single" w:color="auto" w:sz="4" w:space="0"/>
              <w:right w:val="single" w:color="auto" w:sz="4" w:space="0"/>
            </w:tcBorders>
            <w:noWrap w:val="0"/>
            <w:vAlign w:val="center"/>
          </w:tcPr>
          <w:p w14:paraId="5AB03568">
            <w:pPr>
              <w:widowControl/>
              <w:spacing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合计</w:t>
            </w:r>
          </w:p>
        </w:tc>
        <w:tc>
          <w:tcPr>
            <w:tcW w:w="7170" w:type="dxa"/>
            <w:gridSpan w:val="6"/>
            <w:tcBorders>
              <w:top w:val="single" w:color="auto" w:sz="4" w:space="0"/>
              <w:left w:val="single" w:color="auto" w:sz="4" w:space="0"/>
              <w:bottom w:val="single" w:color="auto" w:sz="4" w:space="0"/>
              <w:right w:val="single" w:color="auto" w:sz="4" w:space="0"/>
            </w:tcBorders>
            <w:noWrap w:val="0"/>
            <w:vAlign w:val="center"/>
          </w:tcPr>
          <w:p w14:paraId="33051733">
            <w:pPr>
              <w:widowControl/>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lang w:val="zh-CN"/>
              </w:rPr>
              <w:t xml:space="preserve">大写 ：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zh-CN"/>
              </w:rPr>
              <w:t xml:space="preserve">            ¥        元</w:t>
            </w:r>
          </w:p>
        </w:tc>
      </w:tr>
    </w:tbl>
    <w:p w14:paraId="2AA906DC">
      <w:pPr>
        <w:adjustRightInd w:val="0"/>
        <w:snapToGrid w:val="0"/>
        <w:spacing w:line="360" w:lineRule="auto"/>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合同总价即中标价，为一次性报价。合同价格包含所提供货物的设计、制造、检测、</w:t>
      </w:r>
      <w:r>
        <w:rPr>
          <w:rFonts w:hint="eastAsia" w:ascii="宋体" w:hAnsi="宋体" w:eastAsia="宋体" w:cs="宋体"/>
          <w:color w:val="000000"/>
          <w:sz w:val="24"/>
          <w:szCs w:val="24"/>
          <w:lang w:val="en-US" w:eastAsia="zh-CN"/>
        </w:rPr>
        <w:t>安装、调试、</w:t>
      </w:r>
      <w:r>
        <w:rPr>
          <w:rFonts w:hint="eastAsia" w:ascii="宋体" w:hAnsi="宋体" w:eastAsia="宋体" w:cs="宋体"/>
          <w:color w:val="000000"/>
          <w:sz w:val="24"/>
          <w:szCs w:val="24"/>
        </w:rPr>
        <w:t>备品备件、检测和维修专用工具、应交纳税费、伴随服务费、售后服务、购置相关税费、等因开展本项目所涉及的一切相关费用在内。</w:t>
      </w:r>
    </w:p>
    <w:p w14:paraId="398AAB36">
      <w:pPr>
        <w:keepNext/>
        <w:spacing w:line="360" w:lineRule="auto"/>
        <w:ind w:firstLine="482" w:firstLineChars="200"/>
        <w:outlineLvl w:val="1"/>
        <w:rPr>
          <w:rFonts w:hint="eastAsia" w:ascii="宋体" w:hAnsi="宋体" w:eastAsia="宋体" w:cs="宋体"/>
          <w:b/>
          <w:color w:val="000000"/>
          <w:sz w:val="24"/>
          <w:szCs w:val="24"/>
          <w:lang w:val="zh-CN"/>
        </w:rPr>
      </w:pPr>
      <w:bookmarkStart w:id="6" w:name="_Toc97107712"/>
      <w:bookmarkStart w:id="7" w:name="_Toc97107605"/>
      <w:bookmarkStart w:id="8" w:name="_Toc521307608"/>
      <w:r>
        <w:rPr>
          <w:rFonts w:hint="eastAsia" w:ascii="宋体" w:hAnsi="宋体" w:eastAsia="宋体" w:cs="宋体"/>
          <w:b/>
          <w:color w:val="000000"/>
          <w:sz w:val="24"/>
          <w:szCs w:val="24"/>
          <w:lang w:val="zh-CN"/>
        </w:rPr>
        <w:t>三、结算方式</w:t>
      </w:r>
      <w:bookmarkEnd w:id="6"/>
      <w:bookmarkEnd w:id="7"/>
      <w:bookmarkEnd w:id="8"/>
    </w:p>
    <w:p w14:paraId="1F832370">
      <w:pPr>
        <w:adjustRightInd w:val="0"/>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1.结算单位：银行转账，由甲方负责结算。在付款前，乙方必须开具与合同金额相应的发票给甲方，附详细清单。</w:t>
      </w:r>
    </w:p>
    <w:p w14:paraId="011A285B">
      <w:pPr>
        <w:adjustRightInd w:val="0"/>
        <w:snapToGrid w:val="0"/>
        <w:spacing w:line="360" w:lineRule="auto"/>
        <w:ind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2.付款方式：</w:t>
      </w:r>
      <w:bookmarkStart w:id="9" w:name="_Toc97107607"/>
      <w:bookmarkStart w:id="10" w:name="_Toc97107714"/>
      <w:bookmarkStart w:id="11" w:name="_Toc521307609"/>
      <w:r>
        <w:rPr>
          <w:rFonts w:hint="eastAsia" w:ascii="宋体" w:hAnsi="宋体" w:eastAsia="宋体" w:cs="宋体"/>
          <w:color w:val="000000"/>
          <w:sz w:val="24"/>
          <w:szCs w:val="24"/>
          <w:u w:val="single"/>
          <w:lang w:val="en-US" w:eastAsia="zh-CN"/>
        </w:rPr>
        <w:t>（1）</w:t>
      </w:r>
      <w:r>
        <w:rPr>
          <w:rFonts w:hint="eastAsia" w:ascii="宋体" w:hAnsi="宋体" w:eastAsia="宋体" w:cs="宋体"/>
          <w:color w:val="000000"/>
          <w:sz w:val="24"/>
          <w:szCs w:val="24"/>
          <w:u w:val="single"/>
        </w:rPr>
        <w:t>合同签订后1</w:t>
      </w:r>
      <w:r>
        <w:rPr>
          <w:rFonts w:hint="eastAsia" w:ascii="宋体" w:hAnsi="宋体" w:eastAsia="宋体" w:cs="宋体"/>
          <w:color w:val="000000"/>
          <w:sz w:val="24"/>
          <w:szCs w:val="24"/>
          <w:u w:val="single"/>
          <w:lang w:val="en-US" w:eastAsia="zh-CN"/>
        </w:rPr>
        <w:t>5日</w:t>
      </w:r>
      <w:r>
        <w:rPr>
          <w:rFonts w:hint="eastAsia" w:ascii="宋体" w:hAnsi="宋体" w:eastAsia="宋体" w:cs="宋体"/>
          <w:color w:val="000000"/>
          <w:sz w:val="24"/>
          <w:szCs w:val="24"/>
          <w:u w:val="single"/>
        </w:rPr>
        <w:t>内支付合同总价款30%作为预付款；</w:t>
      </w:r>
    </w:p>
    <w:p w14:paraId="0E19343D">
      <w:pPr>
        <w:adjustRightInd w:val="0"/>
        <w:snapToGrid w:val="0"/>
        <w:spacing w:line="360" w:lineRule="auto"/>
        <w:ind w:firstLine="475" w:firstLineChars="198"/>
        <w:rPr>
          <w:rFonts w:hint="eastAsia" w:ascii="宋体" w:hAnsi="宋体" w:eastAsia="宋体" w:cs="宋体"/>
          <w:color w:val="000000"/>
          <w:sz w:val="24"/>
          <w:szCs w:val="24"/>
          <w:u w:val="single"/>
        </w:rPr>
      </w:pPr>
      <w:r>
        <w:rPr>
          <w:rFonts w:hint="eastAsia" w:ascii="宋体" w:hAnsi="宋体" w:eastAsia="宋体" w:cs="宋体"/>
          <w:color w:val="000000"/>
          <w:sz w:val="24"/>
          <w:szCs w:val="24"/>
          <w:u w:val="single"/>
          <w:lang w:val="en-US" w:eastAsia="zh-CN"/>
        </w:rPr>
        <w:t>（2）全部货物到达指定地点，安装调试完成经验收合格后，</w:t>
      </w:r>
      <w:r>
        <w:rPr>
          <w:rFonts w:hint="eastAsia" w:ascii="宋体" w:hAnsi="宋体" w:eastAsia="宋体" w:cs="宋体"/>
          <w:color w:val="000000"/>
          <w:sz w:val="24"/>
          <w:szCs w:val="24"/>
          <w:u w:val="single"/>
        </w:rPr>
        <w:t>项目专项资金到位</w:t>
      </w:r>
      <w:r>
        <w:rPr>
          <w:rFonts w:hint="eastAsia" w:ascii="宋体" w:hAnsi="宋体" w:eastAsia="宋体" w:cs="宋体"/>
          <w:color w:val="000000"/>
          <w:sz w:val="24"/>
          <w:szCs w:val="24"/>
          <w:u w:val="single"/>
          <w:lang w:eastAsia="zh-CN"/>
        </w:rPr>
        <w:t>，</w:t>
      </w:r>
      <w:r>
        <w:rPr>
          <w:rFonts w:hint="eastAsia" w:ascii="宋体" w:hAnsi="宋体" w:eastAsia="宋体" w:cs="宋体"/>
          <w:color w:val="000000"/>
          <w:sz w:val="24"/>
          <w:szCs w:val="24"/>
          <w:u w:val="single"/>
        </w:rPr>
        <w:t>1</w:t>
      </w:r>
      <w:r>
        <w:rPr>
          <w:rFonts w:hint="eastAsia" w:ascii="宋体" w:hAnsi="宋体" w:eastAsia="宋体" w:cs="宋体"/>
          <w:color w:val="000000"/>
          <w:sz w:val="24"/>
          <w:szCs w:val="24"/>
          <w:u w:val="single"/>
          <w:lang w:val="en-US" w:eastAsia="zh-CN"/>
        </w:rPr>
        <w:t>5日</w:t>
      </w:r>
      <w:r>
        <w:rPr>
          <w:rFonts w:hint="eastAsia" w:ascii="宋体" w:hAnsi="宋体" w:eastAsia="宋体" w:cs="宋体"/>
          <w:color w:val="000000"/>
          <w:sz w:val="24"/>
          <w:szCs w:val="24"/>
          <w:u w:val="single"/>
        </w:rPr>
        <w:t>内支付合同总价款</w:t>
      </w:r>
      <w:r>
        <w:rPr>
          <w:rFonts w:hint="eastAsia" w:ascii="宋体" w:hAnsi="宋体" w:eastAsia="宋体" w:cs="宋体"/>
          <w:color w:val="000000"/>
          <w:sz w:val="24"/>
          <w:szCs w:val="24"/>
          <w:u w:val="single"/>
          <w:lang w:val="en-US" w:eastAsia="zh-CN"/>
        </w:rPr>
        <w:t>7</w:t>
      </w:r>
      <w:r>
        <w:rPr>
          <w:rFonts w:hint="eastAsia" w:ascii="宋体" w:hAnsi="宋体" w:eastAsia="宋体" w:cs="宋体"/>
          <w:color w:val="000000"/>
          <w:sz w:val="24"/>
          <w:szCs w:val="24"/>
          <w:u w:val="single"/>
        </w:rPr>
        <w:t>0%</w:t>
      </w:r>
      <w:r>
        <w:rPr>
          <w:rFonts w:hint="eastAsia" w:ascii="宋体" w:hAnsi="宋体" w:eastAsia="宋体" w:cs="宋体"/>
          <w:color w:val="000000"/>
          <w:sz w:val="24"/>
          <w:szCs w:val="24"/>
          <w:u w:val="single"/>
          <w:lang w:val="en-US" w:eastAsia="zh-CN"/>
        </w:rPr>
        <w:t>。</w:t>
      </w:r>
    </w:p>
    <w:p w14:paraId="2EEAFA43">
      <w:pPr>
        <w:keepNext/>
        <w:spacing w:line="360" w:lineRule="auto"/>
        <w:ind w:firstLine="482" w:firstLineChars="200"/>
        <w:outlineLvl w:val="1"/>
        <w:rPr>
          <w:rFonts w:hint="eastAsia" w:ascii="宋体" w:hAnsi="宋体" w:eastAsia="宋体" w:cs="宋体"/>
          <w:b/>
          <w:color w:val="000000"/>
          <w:sz w:val="24"/>
          <w:szCs w:val="24"/>
          <w:lang w:val="zh-CN"/>
        </w:rPr>
      </w:pPr>
      <w:r>
        <w:rPr>
          <w:rFonts w:hint="eastAsia" w:ascii="宋体" w:hAnsi="宋体" w:eastAsia="宋体" w:cs="宋体"/>
          <w:b/>
          <w:color w:val="000000"/>
          <w:sz w:val="24"/>
          <w:szCs w:val="24"/>
          <w:lang w:val="zh-CN"/>
        </w:rPr>
        <w:t>四、质保期限</w:t>
      </w:r>
      <w:bookmarkEnd w:id="9"/>
      <w:bookmarkEnd w:id="10"/>
      <w:bookmarkEnd w:id="11"/>
    </w:p>
    <w:p w14:paraId="6CAA7FD5">
      <w:pPr>
        <w:tabs>
          <w:tab w:val="left" w:pos="840"/>
        </w:tabs>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质保期：符合国家或行业规定标准</w:t>
      </w:r>
    </w:p>
    <w:p w14:paraId="5837CD52">
      <w:pPr>
        <w:keepNext/>
        <w:spacing w:line="360" w:lineRule="auto"/>
        <w:ind w:firstLine="482" w:firstLineChars="200"/>
        <w:outlineLvl w:val="1"/>
        <w:rPr>
          <w:rFonts w:hint="eastAsia" w:ascii="宋体" w:hAnsi="宋体" w:eastAsia="宋体" w:cs="宋体"/>
          <w:b/>
          <w:color w:val="000000"/>
          <w:sz w:val="24"/>
          <w:szCs w:val="24"/>
        </w:rPr>
      </w:pPr>
      <w:bookmarkStart w:id="12" w:name="_Toc97107608"/>
      <w:bookmarkStart w:id="13" w:name="_Toc97107715"/>
      <w:bookmarkStart w:id="14" w:name="_Toc521307610"/>
      <w:r>
        <w:rPr>
          <w:rFonts w:hint="eastAsia" w:ascii="宋体" w:hAnsi="宋体" w:eastAsia="宋体" w:cs="宋体"/>
          <w:b/>
          <w:color w:val="000000"/>
          <w:sz w:val="24"/>
          <w:szCs w:val="24"/>
          <w:lang w:val="zh-CN"/>
        </w:rPr>
        <w:t>五、项目实施地点</w:t>
      </w:r>
      <w:bookmarkEnd w:id="12"/>
      <w:bookmarkEnd w:id="13"/>
      <w:bookmarkEnd w:id="14"/>
      <w:r>
        <w:rPr>
          <w:rFonts w:hint="eastAsia" w:ascii="宋体" w:hAnsi="宋体" w:eastAsia="宋体" w:cs="宋体"/>
          <w:b/>
          <w:color w:val="000000"/>
          <w:sz w:val="24"/>
          <w:szCs w:val="24"/>
          <w:lang w:val="zh-CN"/>
        </w:rPr>
        <w:t xml:space="preserve">  </w:t>
      </w:r>
    </w:p>
    <w:p w14:paraId="5E76C40B">
      <w:pPr>
        <w:spacing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spacing w:val="0"/>
          <w:sz w:val="24"/>
          <w:szCs w:val="24"/>
          <w:highlight w:val="none"/>
          <w:lang w:val="en-US" w:eastAsia="zh-CN"/>
        </w:rPr>
        <w:t>西安市临潼区指定地点。</w:t>
      </w:r>
    </w:p>
    <w:p w14:paraId="04271986">
      <w:pPr>
        <w:keepNext/>
        <w:spacing w:line="360" w:lineRule="auto"/>
        <w:ind w:firstLine="482" w:firstLineChars="200"/>
        <w:outlineLvl w:val="1"/>
        <w:rPr>
          <w:rFonts w:hint="eastAsia" w:ascii="宋体" w:hAnsi="宋体" w:eastAsia="宋体" w:cs="宋体"/>
          <w:color w:val="000000"/>
          <w:sz w:val="24"/>
          <w:szCs w:val="24"/>
        </w:rPr>
      </w:pPr>
      <w:bookmarkStart w:id="15" w:name="_Toc521307611"/>
      <w:bookmarkStart w:id="16" w:name="_Toc97107609"/>
      <w:bookmarkStart w:id="17" w:name="_Toc97107716"/>
      <w:r>
        <w:rPr>
          <w:rFonts w:hint="eastAsia" w:ascii="宋体" w:hAnsi="宋体" w:eastAsia="宋体" w:cs="宋体"/>
          <w:b/>
          <w:color w:val="000000"/>
          <w:sz w:val="24"/>
          <w:szCs w:val="24"/>
          <w:lang w:val="zh-CN"/>
        </w:rPr>
        <w:t>六、运输、安装、调试要求</w:t>
      </w:r>
      <w:bookmarkEnd w:id="15"/>
      <w:bookmarkEnd w:id="16"/>
      <w:bookmarkEnd w:id="17"/>
      <w:r>
        <w:rPr>
          <w:rFonts w:hint="eastAsia" w:ascii="宋体" w:hAnsi="宋体" w:eastAsia="宋体" w:cs="宋体"/>
          <w:b/>
          <w:color w:val="000000"/>
          <w:sz w:val="24"/>
          <w:szCs w:val="24"/>
          <w:lang w:val="zh-CN"/>
        </w:rPr>
        <w:t xml:space="preserve"> </w:t>
      </w:r>
    </w:p>
    <w:p w14:paraId="708A2C1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1、乙方根据产品特性，自行选择运输及包装方式，承担一切运输费用，包括从生产厂到甲方指定交货地点所需的装卸、运输（含保险费）安装调试及其他一切费用。</w:t>
      </w:r>
    </w:p>
    <w:p w14:paraId="06B36FF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2、由乙方负责运输、安装、调试。货物到现场后，乙方与甲方共同对其外观进行验收。乙方应对所供合同货物进行妥善包装，使之能承受所采用的运输条件，确保货物不受任何损伤或损坏。</w:t>
      </w:r>
    </w:p>
    <w:p w14:paraId="1B89588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3、乙方应在合同规定的交货期内完成该项工作。如因乙方责任而造成延期，每超过一天按合同总价款的（1%）支付甲方误期赔偿金，直至交货或提供服务结束为止，所有因延期而产生的费用由乙方承担。</w:t>
      </w:r>
    </w:p>
    <w:p w14:paraId="2D5A8C9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4、安装和调试期间所发生的费用均由乙方负责。</w:t>
      </w:r>
    </w:p>
    <w:p w14:paraId="51363AC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5、乙方应对安装调试、整改等实施过程的安全负责，如发生人身伤亡、财产损失的由乙方负责解决并承担全部责任。</w:t>
      </w:r>
    </w:p>
    <w:p w14:paraId="24B5395C">
      <w:pPr>
        <w:keepNext/>
        <w:spacing w:line="360" w:lineRule="auto"/>
        <w:ind w:firstLine="482" w:firstLineChars="200"/>
        <w:outlineLvl w:val="1"/>
        <w:rPr>
          <w:rFonts w:hint="eastAsia" w:ascii="宋体" w:hAnsi="宋体" w:eastAsia="宋体" w:cs="宋体"/>
          <w:b/>
          <w:color w:val="000000"/>
          <w:sz w:val="24"/>
          <w:szCs w:val="24"/>
          <w:lang w:val="zh-CN"/>
        </w:rPr>
      </w:pPr>
      <w:bookmarkStart w:id="18" w:name="_Toc97107717"/>
      <w:bookmarkStart w:id="19" w:name="_Toc521307612"/>
      <w:bookmarkStart w:id="20" w:name="_Toc97107610"/>
      <w:r>
        <w:rPr>
          <w:rFonts w:hint="eastAsia" w:ascii="宋体" w:hAnsi="宋体" w:eastAsia="宋体" w:cs="宋体"/>
          <w:b/>
          <w:color w:val="000000"/>
          <w:sz w:val="24"/>
          <w:szCs w:val="24"/>
          <w:lang w:val="zh-CN"/>
        </w:rPr>
        <w:t>七、技术支持</w:t>
      </w:r>
      <w:bookmarkEnd w:id="18"/>
      <w:bookmarkEnd w:id="19"/>
      <w:bookmarkEnd w:id="20"/>
    </w:p>
    <w:p w14:paraId="47DDC9B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1、乙方应提供可承担维修职能的公司、全资分公司或办事处，并驻守多名维护技术人员，并提供地点、联系人（常驻工程师）及联系电话（服务热线），随时解答各种疑问。</w:t>
      </w:r>
    </w:p>
    <w:p w14:paraId="216680A3">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现场服务，质保期内维修费用含在合同总价中，提供终身维修（护）。在质量保证期内发生重大故障，维修工程师抵达现场时间≤48小时，3个工作日内无法恢复的故障提供免费更换服务。产品实行“三包”，并承担由此产生的包装、运输等的一切费用。</w:t>
      </w:r>
    </w:p>
    <w:p w14:paraId="297AC63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3、质保期内每年至少四次免费上门维护，回访。</w:t>
      </w:r>
    </w:p>
    <w:p w14:paraId="799396F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4、对于存在质量问题或者短少的产品，乙方应在接到甲方的通知2个日历日内负责修复，调换、重新制作或补齐。</w:t>
      </w:r>
    </w:p>
    <w:p w14:paraId="41287A3E">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提供质保期内全年7×24小时的技术咨询服务。乙方怠于或无法提供技术支持的，甲方有权委托第三方处理，由此产生的费用和后果由乙方负责，费用直接从应付款或质保金中扣除。乙方指定的项目总协调人必须是乙方公司管理层人员。因乙方的人员变更原因所造成的任何项目质量、进度滞后的后果，由乙方承担。</w:t>
      </w:r>
    </w:p>
    <w:p w14:paraId="41CD558D">
      <w:pPr>
        <w:tabs>
          <w:tab w:val="left" w:pos="840"/>
        </w:tabs>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6、乙方在项目实施过程中，质量保障人员、资源不足或者执行不力，给项目质量带来的风险超出甲方认定的允许范围时，甲方可终止本项目的合作并进行索赔。</w:t>
      </w:r>
    </w:p>
    <w:p w14:paraId="7E246A6D">
      <w:pPr>
        <w:keepNext/>
        <w:spacing w:line="360" w:lineRule="auto"/>
        <w:ind w:firstLine="482" w:firstLineChars="200"/>
        <w:outlineLvl w:val="1"/>
        <w:rPr>
          <w:rFonts w:hint="eastAsia" w:ascii="宋体" w:hAnsi="宋体" w:eastAsia="宋体" w:cs="宋体"/>
          <w:b/>
          <w:color w:val="000000"/>
          <w:sz w:val="24"/>
          <w:szCs w:val="24"/>
          <w:lang w:val="zh-CN"/>
        </w:rPr>
      </w:pPr>
      <w:bookmarkStart w:id="21" w:name="_Toc97107611"/>
      <w:bookmarkStart w:id="22" w:name="_Toc521307613"/>
      <w:bookmarkStart w:id="23" w:name="_Toc97107718"/>
      <w:r>
        <w:rPr>
          <w:rFonts w:hint="eastAsia" w:ascii="宋体" w:hAnsi="宋体" w:eastAsia="宋体" w:cs="宋体"/>
          <w:b/>
          <w:color w:val="000000"/>
          <w:sz w:val="24"/>
          <w:szCs w:val="24"/>
          <w:lang w:val="zh-CN"/>
        </w:rPr>
        <w:t>八、技术培训</w:t>
      </w:r>
      <w:bookmarkEnd w:id="21"/>
      <w:bookmarkEnd w:id="22"/>
      <w:bookmarkEnd w:id="23"/>
    </w:p>
    <w:p w14:paraId="1ED5EE5F">
      <w:pPr>
        <w:snapToGrid w:val="0"/>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1、乙方应告知甲方产品的使用、维护、保养等有关注意事项，并根据招投标文件要求对甲方人员进行培训，培训费用由投标人承担。</w:t>
      </w:r>
    </w:p>
    <w:p w14:paraId="00ADE6C5">
      <w:pPr>
        <w:tabs>
          <w:tab w:val="left" w:pos="420"/>
        </w:tabs>
        <w:spacing w:line="360" w:lineRule="auto"/>
        <w:ind w:firstLine="420"/>
        <w:rPr>
          <w:rFonts w:hint="eastAsia" w:ascii="宋体" w:hAnsi="宋体" w:eastAsia="宋体" w:cs="宋体"/>
          <w:color w:val="000000"/>
          <w:sz w:val="24"/>
          <w:szCs w:val="24"/>
        </w:rPr>
      </w:pPr>
      <w:r>
        <w:rPr>
          <w:rFonts w:hint="eastAsia" w:ascii="宋体" w:hAnsi="宋体" w:eastAsia="宋体" w:cs="宋体"/>
          <w:color w:val="000000"/>
          <w:sz w:val="24"/>
          <w:szCs w:val="24"/>
        </w:rPr>
        <w:t>2、在产品正常使用寿命内发生的任何产品质量问题，乙方应当于接到甲方通知后4小时内赶到现场，并及时予以解决。</w:t>
      </w:r>
    </w:p>
    <w:p w14:paraId="133D4D8D">
      <w:pPr>
        <w:keepNext/>
        <w:spacing w:line="360" w:lineRule="auto"/>
        <w:ind w:firstLine="482" w:firstLineChars="200"/>
        <w:outlineLvl w:val="1"/>
        <w:rPr>
          <w:rFonts w:hint="eastAsia" w:ascii="宋体" w:hAnsi="宋体" w:eastAsia="宋体" w:cs="宋体"/>
          <w:b/>
          <w:color w:val="000000"/>
          <w:sz w:val="24"/>
          <w:szCs w:val="24"/>
          <w:lang w:val="zh-CN"/>
        </w:rPr>
      </w:pPr>
      <w:bookmarkStart w:id="24" w:name="_Toc97107719"/>
      <w:bookmarkStart w:id="25" w:name="_Toc521307614"/>
      <w:bookmarkStart w:id="26" w:name="_Toc97107612"/>
      <w:r>
        <w:rPr>
          <w:rFonts w:hint="eastAsia" w:ascii="宋体" w:hAnsi="宋体" w:eastAsia="宋体" w:cs="宋体"/>
          <w:b/>
          <w:color w:val="000000"/>
          <w:sz w:val="24"/>
          <w:szCs w:val="24"/>
          <w:lang w:val="zh-CN"/>
        </w:rPr>
        <w:t>九、技术资料要求</w:t>
      </w:r>
      <w:bookmarkEnd w:id="24"/>
      <w:bookmarkEnd w:id="25"/>
      <w:bookmarkEnd w:id="26"/>
    </w:p>
    <w:p w14:paraId="7C6975DC">
      <w:pPr>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sz w:val="24"/>
          <w:szCs w:val="24"/>
        </w:rPr>
        <w:t>乙方</w:t>
      </w:r>
      <w:r>
        <w:rPr>
          <w:rFonts w:hint="eastAsia" w:ascii="宋体" w:hAnsi="宋体" w:eastAsia="宋体" w:cs="宋体"/>
          <w:color w:val="000000"/>
          <w:kern w:val="0"/>
          <w:sz w:val="24"/>
          <w:szCs w:val="24"/>
        </w:rPr>
        <w:t>应向甲方提供全套中文技术资料一套，其费用包括在投标价格中：</w:t>
      </w:r>
    </w:p>
    <w:p w14:paraId="713FFE94">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1、完整的产品操作使用手册、说明书和维护、修理技术文件，图纸、保修卡等；</w:t>
      </w:r>
    </w:p>
    <w:p w14:paraId="33F356C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2、制造厂的检验、测试报告、产品检验合格证书，质量保证书等文件验收时须一并提供；</w:t>
      </w:r>
    </w:p>
    <w:p w14:paraId="024C261E">
      <w:pPr>
        <w:adjustRightInd w:val="0"/>
        <w:snapToGrid w:val="0"/>
        <w:spacing w:line="360" w:lineRule="auto"/>
        <w:ind w:firstLine="480" w:firstLineChars="200"/>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3、产品验收标准；</w:t>
      </w:r>
    </w:p>
    <w:p w14:paraId="4464BD6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4、技术说明书及必须的其它技术资料；</w:t>
      </w:r>
    </w:p>
    <w:p w14:paraId="7CF6E61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5、产品安装，调试、及原理图；</w:t>
      </w:r>
    </w:p>
    <w:p w14:paraId="2CF3F632">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6、零部件目录；</w:t>
      </w:r>
    </w:p>
    <w:p w14:paraId="6B7A35F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7、备品备件、易损件清单；</w:t>
      </w:r>
    </w:p>
    <w:p w14:paraId="758BA6F8">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8、整体验收后提供验收报告；</w:t>
      </w:r>
    </w:p>
    <w:p w14:paraId="7FB6E9EC">
      <w:pPr>
        <w:keepNext/>
        <w:spacing w:line="360" w:lineRule="auto"/>
        <w:ind w:firstLine="482" w:firstLineChars="200"/>
        <w:outlineLvl w:val="1"/>
        <w:rPr>
          <w:rFonts w:hint="eastAsia" w:ascii="宋体" w:hAnsi="宋体" w:eastAsia="宋体" w:cs="宋体"/>
          <w:b/>
          <w:color w:val="000000"/>
          <w:sz w:val="24"/>
          <w:szCs w:val="24"/>
          <w:lang w:val="zh-CN"/>
        </w:rPr>
      </w:pPr>
      <w:bookmarkStart w:id="27" w:name="_Toc97107720"/>
      <w:bookmarkStart w:id="28" w:name="_Toc97107613"/>
      <w:bookmarkStart w:id="29" w:name="_Toc521307615"/>
      <w:r>
        <w:rPr>
          <w:rFonts w:hint="eastAsia" w:ascii="宋体" w:hAnsi="宋体" w:eastAsia="宋体" w:cs="宋体"/>
          <w:b/>
          <w:color w:val="000000"/>
          <w:sz w:val="24"/>
          <w:szCs w:val="24"/>
          <w:lang w:val="zh-CN"/>
        </w:rPr>
        <w:t>十、质量保证</w:t>
      </w:r>
      <w:bookmarkEnd w:id="27"/>
      <w:bookmarkEnd w:id="28"/>
      <w:bookmarkEnd w:id="29"/>
    </w:p>
    <w:p w14:paraId="13B11C2D">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乙方提供的产品及材料必须保证质量可靠，为市场最新或主流产品，进货渠道正常，配置合理齐全，应全面满足招标文件的要求，招标文件未明确要求的内容，乙方须按招标产品主流标准配置或以甲方的补充要求为准。所供产品工艺质量应严格按国家最新发布的规范标准执行，如发生质量问题由乙方承担全部责任。</w:t>
      </w:r>
    </w:p>
    <w:p w14:paraId="2B644541">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2、乙方应保证所有产品的完好无损包括配套包装，如有缺漏、损坏，由乙方负责调换、补齐或赔偿。</w:t>
      </w:r>
    </w:p>
    <w:p w14:paraId="5F0B2E8C">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3、甲方使用产品过程中因产品质量、产品缺陷及安装质量等造成人身伤亡、财产损失的，由乙方负责解决并承担全部责任。</w:t>
      </w:r>
    </w:p>
    <w:p w14:paraId="1A500D90">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4、对于存在质量问题或者短少的产品，乙方应在接到甲方的通知2个日历日内负责修复，调换、重新制作或补齐。</w:t>
      </w:r>
    </w:p>
    <w:p w14:paraId="3B192D56">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5、在最终验收后的质量保证期内，乙方应对设计、工艺或材料等的缺陷而产生的故障负责（负责解决并承担全部费用）。质保期满后如出现此类问题亦应负责。</w:t>
      </w:r>
    </w:p>
    <w:p w14:paraId="7DAEE26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乙方及所投产品的生产厂商应承诺质保期、维保期的售后服务条款（包括具体的服务内容、故障响应时间、响应方式、维修措施及时限、维护响应计划等方面），未提供任何质保期、维保期的售后服务条款或提供的内容不实的以不实质性满足招标文件要求对待。</w:t>
      </w:r>
    </w:p>
    <w:p w14:paraId="743FA35F">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7、对于未按约定提供质保服务或违约的乙方，甲方将拒绝其参加其单位的采购项目。且甲方有权委托第三方进行维修，所产生的费用由乙方承担，甲方有权从质保金中直接扣除，不足部分应由乙方支付。</w:t>
      </w:r>
    </w:p>
    <w:p w14:paraId="4F91896D">
      <w:pPr>
        <w:keepNext/>
        <w:spacing w:line="360" w:lineRule="auto"/>
        <w:ind w:firstLine="482" w:firstLineChars="200"/>
        <w:outlineLvl w:val="1"/>
        <w:rPr>
          <w:rFonts w:hint="eastAsia" w:ascii="宋体" w:hAnsi="宋体" w:eastAsia="宋体" w:cs="宋体"/>
          <w:b/>
          <w:color w:val="000000"/>
          <w:sz w:val="24"/>
          <w:szCs w:val="24"/>
          <w:lang w:val="zh-CN"/>
        </w:rPr>
      </w:pPr>
      <w:bookmarkStart w:id="30" w:name="_Toc97107614"/>
      <w:bookmarkStart w:id="31" w:name="_Toc97107721"/>
      <w:bookmarkStart w:id="32" w:name="_Toc521307616"/>
      <w:r>
        <w:rPr>
          <w:rFonts w:hint="eastAsia" w:ascii="宋体" w:hAnsi="宋体" w:eastAsia="宋体" w:cs="宋体"/>
          <w:b/>
          <w:color w:val="000000"/>
          <w:sz w:val="24"/>
          <w:szCs w:val="24"/>
          <w:lang w:val="zh-CN"/>
        </w:rPr>
        <w:t>十一、验收</w:t>
      </w:r>
      <w:bookmarkEnd w:id="30"/>
      <w:bookmarkEnd w:id="31"/>
      <w:bookmarkEnd w:id="32"/>
    </w:p>
    <w:p w14:paraId="05D0D162">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由甲方对项目进行整体验收，乙方协助配合。其内容包括确认产品的产地、规格、型号和数量，对其产品技术指标、性能参数、样式、颜色、以及质量是否达到现行国家有关验收规范“合格”标准、是否按照甲方要求安装到位、是否按照甲方要求进行调试和提供相关培训、是否在规定时间内安装完毕、所有产品的配套包装是否完好无损等进行逐项检查。</w:t>
      </w:r>
    </w:p>
    <w:p w14:paraId="55DB6E3A">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1、所验产品的指标、性能参数最终验收达不到招标文件要求和投标文件承诺的，或在使用中发现甲方不能容忍的缺陷等，将视为产品验收不合格，乙方应在甲方要求的时间内无条件免费更换或退货。</w:t>
      </w:r>
    </w:p>
    <w:p w14:paraId="515DC335">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2、若发现乙方有弄虚作假的，在投标阶段故意或随意夸大产品技术性能，乙方应无条件退货，本合同解除，乙方赔偿甲方相应的损失。</w:t>
      </w:r>
    </w:p>
    <w:p w14:paraId="35A7FA3B">
      <w:pPr>
        <w:spacing w:line="36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3、验收标准：按招标文件、投标文件及澄清函等技术指标进行验收。各项指标均应符合验收标准及要求。</w:t>
      </w:r>
    </w:p>
    <w:p w14:paraId="21428AE1">
      <w:pPr>
        <w:spacing w:line="360" w:lineRule="auto"/>
        <w:ind w:firstLine="480" w:firstLineChars="200"/>
        <w:rPr>
          <w:rFonts w:hint="eastAsia" w:ascii="宋体" w:hAnsi="宋体" w:eastAsia="宋体" w:cs="宋体"/>
          <w:b/>
          <w:color w:val="000000"/>
          <w:sz w:val="24"/>
          <w:szCs w:val="24"/>
          <w:highlight w:val="green"/>
        </w:rPr>
      </w:pPr>
      <w:r>
        <w:rPr>
          <w:rFonts w:hint="eastAsia" w:ascii="宋体" w:hAnsi="宋体" w:eastAsia="宋体" w:cs="宋体"/>
          <w:color w:val="000000"/>
          <w:sz w:val="24"/>
          <w:szCs w:val="24"/>
        </w:rPr>
        <w:t>4、验收合格后，填写验收单，双方签字生效。</w:t>
      </w:r>
    </w:p>
    <w:p w14:paraId="3618D1F2">
      <w:pPr>
        <w:keepNext/>
        <w:spacing w:line="360" w:lineRule="auto"/>
        <w:ind w:firstLine="482" w:firstLineChars="200"/>
        <w:outlineLvl w:val="1"/>
        <w:rPr>
          <w:rFonts w:hint="eastAsia" w:ascii="宋体" w:hAnsi="宋体" w:eastAsia="宋体" w:cs="宋体"/>
          <w:b/>
          <w:color w:val="000000"/>
          <w:sz w:val="24"/>
          <w:szCs w:val="24"/>
          <w:lang w:val="zh-CN"/>
        </w:rPr>
      </w:pPr>
      <w:bookmarkStart w:id="33" w:name="_Toc97107722"/>
      <w:bookmarkStart w:id="34" w:name="_Toc97107615"/>
      <w:bookmarkStart w:id="35" w:name="_Toc521307617"/>
      <w:r>
        <w:rPr>
          <w:rFonts w:hint="eastAsia" w:ascii="宋体" w:hAnsi="宋体" w:eastAsia="宋体" w:cs="宋体"/>
          <w:b/>
          <w:color w:val="000000"/>
          <w:sz w:val="24"/>
          <w:szCs w:val="24"/>
          <w:lang w:val="zh-CN"/>
        </w:rPr>
        <w:t>十二、保密</w:t>
      </w:r>
      <w:bookmarkEnd w:id="33"/>
      <w:bookmarkEnd w:id="34"/>
      <w:bookmarkEnd w:id="35"/>
    </w:p>
    <w:p w14:paraId="11CDCF74">
      <w:pPr>
        <w:tabs>
          <w:tab w:val="left" w:pos="1080"/>
        </w:tabs>
        <w:spacing w:line="360" w:lineRule="auto"/>
        <w:ind w:firstLine="360" w:firstLineChars="150"/>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对工作中了解到的甲方的技术、机密等进行严格保密，不得向他人泄漏。本合同的解除或终止不免除乙方应承担的保密义务。</w:t>
      </w:r>
    </w:p>
    <w:p w14:paraId="051662C9">
      <w:pPr>
        <w:keepNext/>
        <w:spacing w:line="360" w:lineRule="auto"/>
        <w:ind w:firstLine="482" w:firstLineChars="200"/>
        <w:outlineLvl w:val="1"/>
        <w:rPr>
          <w:rFonts w:hint="eastAsia" w:ascii="宋体" w:hAnsi="宋体" w:eastAsia="宋体" w:cs="宋体"/>
          <w:b/>
          <w:color w:val="000000"/>
          <w:sz w:val="24"/>
          <w:szCs w:val="24"/>
          <w:lang w:val="zh-CN"/>
        </w:rPr>
      </w:pPr>
      <w:bookmarkStart w:id="36" w:name="_Toc521307618"/>
      <w:bookmarkStart w:id="37" w:name="_Toc97107723"/>
      <w:bookmarkStart w:id="38" w:name="_Toc97107616"/>
      <w:r>
        <w:rPr>
          <w:rFonts w:hint="eastAsia" w:ascii="宋体" w:hAnsi="宋体" w:eastAsia="宋体" w:cs="宋体"/>
          <w:b/>
          <w:color w:val="000000"/>
          <w:sz w:val="24"/>
          <w:szCs w:val="24"/>
          <w:lang w:val="zh-CN"/>
        </w:rPr>
        <w:t>十三、知识产权</w:t>
      </w:r>
      <w:bookmarkEnd w:id="36"/>
      <w:bookmarkEnd w:id="37"/>
      <w:bookmarkEnd w:id="38"/>
    </w:p>
    <w:p w14:paraId="0098E618">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乙方应对所供产品具有或已取得合法知识产权，乙方应保证所供产品及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给甲方造成损失的，由乙方一并赔偿。</w:t>
      </w:r>
    </w:p>
    <w:p w14:paraId="1EFE4541">
      <w:pPr>
        <w:keepNext/>
        <w:spacing w:line="360" w:lineRule="auto"/>
        <w:ind w:firstLine="482" w:firstLineChars="200"/>
        <w:outlineLvl w:val="1"/>
        <w:rPr>
          <w:rFonts w:hint="eastAsia" w:ascii="宋体" w:hAnsi="宋体" w:eastAsia="宋体" w:cs="宋体"/>
          <w:b/>
          <w:color w:val="000000"/>
          <w:sz w:val="24"/>
          <w:szCs w:val="24"/>
          <w:lang w:val="zh-CN"/>
        </w:rPr>
      </w:pPr>
      <w:bookmarkStart w:id="39" w:name="_Toc97107724"/>
      <w:bookmarkStart w:id="40" w:name="_Toc521307619"/>
      <w:bookmarkStart w:id="41" w:name="_Toc97107617"/>
      <w:r>
        <w:rPr>
          <w:rFonts w:hint="eastAsia" w:ascii="宋体" w:hAnsi="宋体" w:eastAsia="宋体" w:cs="宋体"/>
          <w:b/>
          <w:color w:val="000000"/>
          <w:sz w:val="24"/>
          <w:szCs w:val="24"/>
          <w:lang w:val="zh-CN"/>
        </w:rPr>
        <w:t>十四、合同争议的解决</w:t>
      </w:r>
      <w:bookmarkEnd w:id="39"/>
      <w:bookmarkEnd w:id="40"/>
      <w:bookmarkEnd w:id="41"/>
    </w:p>
    <w:p w14:paraId="693A5E5E">
      <w:pPr>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合同执行中发生争议的，当事人双方应协商解决。协商达不成一致时，可向当地行政仲裁机关申请仲裁或者向人民法院提请诉讼。</w:t>
      </w:r>
    </w:p>
    <w:p w14:paraId="6803D322">
      <w:pPr>
        <w:keepNext/>
        <w:spacing w:line="360" w:lineRule="auto"/>
        <w:ind w:firstLine="482" w:firstLineChars="200"/>
        <w:outlineLvl w:val="1"/>
        <w:rPr>
          <w:rFonts w:hint="eastAsia" w:ascii="宋体" w:hAnsi="宋体" w:eastAsia="宋体" w:cs="宋体"/>
          <w:b/>
          <w:color w:val="000000"/>
          <w:sz w:val="24"/>
          <w:szCs w:val="24"/>
          <w:lang w:val="zh-CN"/>
        </w:rPr>
      </w:pPr>
      <w:bookmarkStart w:id="42" w:name="_Toc521307620"/>
      <w:bookmarkStart w:id="43" w:name="_Toc97107725"/>
      <w:bookmarkStart w:id="44" w:name="_Toc97107618"/>
      <w:r>
        <w:rPr>
          <w:rFonts w:hint="eastAsia" w:ascii="宋体" w:hAnsi="宋体" w:eastAsia="宋体" w:cs="宋体"/>
          <w:b/>
          <w:color w:val="000000"/>
          <w:sz w:val="24"/>
          <w:szCs w:val="24"/>
          <w:lang w:val="zh-CN"/>
        </w:rPr>
        <w:t>十五、不可抗力情况下的免责约定</w:t>
      </w:r>
      <w:bookmarkEnd w:id="42"/>
      <w:bookmarkEnd w:id="43"/>
      <w:bookmarkEnd w:id="44"/>
    </w:p>
    <w:p w14:paraId="086FE499">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双方约定不可抗力情况指：双方不可预见、不可避免、不可克服的客观情况，但不包括双方的违约或疏忽。这些事件包括但不限于：战争、严重火灾、洪水、台风、地震等。</w:t>
      </w:r>
    </w:p>
    <w:p w14:paraId="48B1D858">
      <w:pPr>
        <w:keepNext/>
        <w:spacing w:line="360" w:lineRule="auto"/>
        <w:ind w:firstLine="482" w:firstLineChars="200"/>
        <w:outlineLvl w:val="1"/>
        <w:rPr>
          <w:rFonts w:hint="eastAsia" w:ascii="宋体" w:hAnsi="宋体" w:eastAsia="宋体" w:cs="宋体"/>
          <w:b/>
          <w:color w:val="000000"/>
          <w:sz w:val="24"/>
          <w:szCs w:val="24"/>
          <w:lang w:val="zh-CN"/>
        </w:rPr>
      </w:pPr>
      <w:bookmarkStart w:id="45" w:name="_Toc521307621"/>
      <w:bookmarkStart w:id="46" w:name="_Toc97107619"/>
      <w:bookmarkStart w:id="47" w:name="_Toc97107726"/>
      <w:r>
        <w:rPr>
          <w:rFonts w:hint="eastAsia" w:ascii="宋体" w:hAnsi="宋体" w:eastAsia="宋体" w:cs="宋体"/>
          <w:b/>
          <w:color w:val="000000"/>
          <w:sz w:val="24"/>
          <w:szCs w:val="24"/>
          <w:lang w:val="zh-CN"/>
        </w:rPr>
        <w:t>十六、违约责任</w:t>
      </w:r>
      <w:bookmarkEnd w:id="45"/>
      <w:bookmarkEnd w:id="46"/>
      <w:bookmarkEnd w:id="47"/>
    </w:p>
    <w:p w14:paraId="5EF49E48">
      <w:pPr>
        <w:spacing w:line="360" w:lineRule="auto"/>
        <w:jc w:val="left"/>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    1、乙方应按照合同规定的期限完成供货及安装、调试、验收，若不能按期完成，情节严重的甲方有权解除合同，并视情节处以不低于合同价款30%的违约金，同时追究乙方的违约责任。</w:t>
      </w:r>
    </w:p>
    <w:p w14:paraId="0296A736">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2、双方中任何一方违反本合同保密条款的，应当向对方支付违约金。</w:t>
      </w:r>
    </w:p>
    <w:p w14:paraId="448D2410">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3、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 1 %的违约金，违约金不足以弥补给甲方造成的损失的，乙方还应当承担补足责任。</w:t>
      </w:r>
    </w:p>
    <w:p w14:paraId="557E6667">
      <w:pPr>
        <w:spacing w:line="360" w:lineRule="auto"/>
        <w:ind w:firstLine="480" w:firstLineChars="200"/>
        <w:jc w:val="left"/>
        <w:rPr>
          <w:rFonts w:hint="eastAsia" w:ascii="宋体" w:hAnsi="宋体" w:eastAsia="宋体" w:cs="宋体"/>
          <w:color w:val="000000"/>
          <w:sz w:val="24"/>
          <w:szCs w:val="24"/>
        </w:rPr>
      </w:pPr>
      <w:r>
        <w:rPr>
          <w:rFonts w:hint="eastAsia" w:ascii="宋体" w:hAnsi="宋体" w:eastAsia="宋体" w:cs="宋体"/>
          <w:color w:val="000000"/>
          <w:sz w:val="24"/>
          <w:szCs w:val="24"/>
        </w:rPr>
        <w:t>4、合同成立后，在任何一方无实质违约的情况下，未经相对方书面允许，任何一方不得单方撤销、中止、终止履行合同。</w:t>
      </w:r>
    </w:p>
    <w:p w14:paraId="577BB55C">
      <w:pPr>
        <w:keepNext/>
        <w:spacing w:line="360" w:lineRule="auto"/>
        <w:ind w:firstLine="482" w:firstLineChars="200"/>
        <w:outlineLvl w:val="1"/>
        <w:rPr>
          <w:rFonts w:hint="eastAsia" w:ascii="宋体" w:hAnsi="宋体" w:eastAsia="宋体" w:cs="宋体"/>
          <w:b/>
          <w:color w:val="000000"/>
          <w:sz w:val="24"/>
          <w:szCs w:val="24"/>
          <w:lang w:val="zh-CN"/>
        </w:rPr>
      </w:pPr>
      <w:bookmarkStart w:id="48" w:name="_Toc97107620"/>
      <w:bookmarkStart w:id="49" w:name="_Toc97107727"/>
      <w:bookmarkStart w:id="50" w:name="_Toc521307622"/>
      <w:r>
        <w:rPr>
          <w:rFonts w:hint="eastAsia" w:ascii="宋体" w:hAnsi="宋体" w:eastAsia="宋体" w:cs="宋体"/>
          <w:b/>
          <w:color w:val="000000"/>
          <w:sz w:val="24"/>
          <w:szCs w:val="24"/>
          <w:lang w:val="zh-CN"/>
        </w:rPr>
        <w:t>十七、合同订立</w:t>
      </w:r>
      <w:bookmarkEnd w:id="48"/>
      <w:bookmarkEnd w:id="49"/>
      <w:bookmarkEnd w:id="50"/>
    </w:p>
    <w:p w14:paraId="45C2499D">
      <w:pPr>
        <w:adjustRightInd w:val="0"/>
        <w:snapToGrid w:val="0"/>
        <w:spacing w:line="360" w:lineRule="auto"/>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1. 订立时间：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3E83671A">
      <w:pPr>
        <w:adjustRightInd w:val="0"/>
        <w:snapToGrid w:val="0"/>
        <w:spacing w:line="360" w:lineRule="auto"/>
        <w:ind w:firstLine="475" w:firstLineChars="198"/>
        <w:rPr>
          <w:rFonts w:hint="eastAsia" w:ascii="宋体" w:hAnsi="宋体" w:eastAsia="宋体" w:cs="宋体"/>
          <w:color w:val="000000"/>
          <w:sz w:val="24"/>
          <w:szCs w:val="24"/>
        </w:rPr>
      </w:pPr>
      <w:r>
        <w:rPr>
          <w:rFonts w:hint="eastAsia" w:ascii="宋体" w:hAnsi="宋体" w:eastAsia="宋体" w:cs="宋体"/>
          <w:color w:val="000000"/>
          <w:sz w:val="24"/>
          <w:szCs w:val="24"/>
        </w:rPr>
        <w:t>2. 本合同一式</w:t>
      </w:r>
      <w:r>
        <w:rPr>
          <w:rFonts w:hint="eastAsia" w:ascii="宋体" w:hAnsi="宋体" w:eastAsia="宋体" w:cs="宋体"/>
          <w:color w:val="000000"/>
          <w:sz w:val="24"/>
          <w:szCs w:val="24"/>
          <w:u w:val="single"/>
        </w:rPr>
        <w:t xml:space="preserve"> 陆 </w:t>
      </w:r>
      <w:r>
        <w:rPr>
          <w:rFonts w:hint="eastAsia" w:ascii="宋体" w:hAnsi="宋体" w:eastAsia="宋体" w:cs="宋体"/>
          <w:color w:val="000000"/>
          <w:sz w:val="24"/>
          <w:szCs w:val="24"/>
        </w:rPr>
        <w:t>份，具有同等法律效力，双方各执</w:t>
      </w:r>
      <w:r>
        <w:rPr>
          <w:rFonts w:hint="eastAsia" w:ascii="宋体" w:hAnsi="宋体" w:eastAsia="宋体" w:cs="宋体"/>
          <w:color w:val="000000"/>
          <w:sz w:val="24"/>
          <w:szCs w:val="24"/>
          <w:u w:val="single"/>
        </w:rPr>
        <w:t xml:space="preserve"> 叁 </w:t>
      </w:r>
      <w:r>
        <w:rPr>
          <w:rFonts w:hint="eastAsia" w:ascii="宋体" w:hAnsi="宋体" w:eastAsia="宋体" w:cs="宋体"/>
          <w:color w:val="000000"/>
          <w:sz w:val="24"/>
          <w:szCs w:val="24"/>
        </w:rPr>
        <w:t>份。各方签字盖章后生效，合同执行完毕自动失效。（合同的服务承诺则长期有效）。</w:t>
      </w:r>
    </w:p>
    <w:p w14:paraId="15548660">
      <w:pPr>
        <w:adjustRightInd w:val="0"/>
        <w:snapToGrid w:val="0"/>
        <w:spacing w:line="360" w:lineRule="auto"/>
        <w:ind w:firstLine="475" w:firstLineChars="198"/>
        <w:rPr>
          <w:rFonts w:hint="eastAsia" w:ascii="宋体" w:hAnsi="宋体" w:eastAsia="宋体" w:cs="宋体"/>
          <w:color w:val="000000"/>
          <w:sz w:val="24"/>
          <w:szCs w:val="24"/>
        </w:rPr>
      </w:pPr>
    </w:p>
    <w:p w14:paraId="66B0FC37">
      <w:pPr>
        <w:adjustRightInd w:val="0"/>
        <w:snapToGrid w:val="0"/>
        <w:spacing w:line="360" w:lineRule="auto"/>
        <w:ind w:firstLine="475" w:firstLineChars="198"/>
        <w:rPr>
          <w:rFonts w:hint="eastAsia" w:ascii="宋体" w:hAnsi="宋体" w:eastAsia="宋体" w:cs="宋体"/>
          <w:color w:val="000000"/>
          <w:sz w:val="24"/>
          <w:szCs w:val="24"/>
        </w:rPr>
      </w:pPr>
    </w:p>
    <w:p w14:paraId="14B35516">
      <w:pPr>
        <w:adjustRightInd w:val="0"/>
        <w:snapToGrid w:val="0"/>
        <w:spacing w:line="360" w:lineRule="auto"/>
        <w:ind w:left="4080" w:hanging="4080" w:hangingChars="1700"/>
        <w:jc w:val="left"/>
        <w:rPr>
          <w:rFonts w:hint="eastAsia" w:ascii="宋体" w:hAnsi="宋体" w:eastAsia="宋体" w:cs="宋体"/>
          <w:color w:val="000000"/>
          <w:sz w:val="24"/>
          <w:szCs w:val="24"/>
          <w:u w:val="single"/>
        </w:rPr>
      </w:pPr>
      <w:r>
        <w:rPr>
          <w:rFonts w:hint="eastAsia" w:ascii="宋体" w:hAnsi="宋体" w:eastAsia="宋体" w:cs="宋体"/>
          <w:color w:val="000000"/>
          <w:sz w:val="24"/>
          <w:szCs w:val="24"/>
        </w:rPr>
        <w:t>甲方：</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乙方：</w:t>
      </w:r>
      <w:r>
        <w:rPr>
          <w:rFonts w:hint="eastAsia" w:ascii="宋体" w:hAnsi="宋体" w:eastAsia="宋体" w:cs="宋体"/>
          <w:color w:val="000000"/>
          <w:sz w:val="24"/>
          <w:szCs w:val="24"/>
          <w:u w:val="single"/>
        </w:rPr>
        <w:t xml:space="preserve">                  </w:t>
      </w:r>
    </w:p>
    <w:p w14:paraId="6FC41125">
      <w:pPr>
        <w:adjustRightInd w:val="0"/>
        <w:snapToGrid w:val="0"/>
        <w:spacing w:line="360" w:lineRule="auto"/>
        <w:rPr>
          <w:rFonts w:hint="eastAsia" w:ascii="宋体" w:hAnsi="宋体" w:eastAsia="宋体" w:cs="宋体"/>
          <w:color w:val="000000"/>
          <w:sz w:val="24"/>
          <w:szCs w:val="24"/>
          <w:u w:val="single"/>
        </w:rPr>
      </w:pPr>
      <w:r>
        <w:rPr>
          <w:rFonts w:hint="eastAsia" w:ascii="宋体" w:hAnsi="宋体" w:cs="宋体"/>
          <w:color w:val="000000"/>
          <w:sz w:val="24"/>
          <w:szCs w:val="24"/>
          <w:u w:val="none"/>
          <w:lang w:val="en-US" w:eastAsia="zh-CN"/>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u w:val="single"/>
        </w:rPr>
        <w:t xml:space="preserve">                  </w:t>
      </w:r>
    </w:p>
    <w:p w14:paraId="338535FC">
      <w:pPr>
        <w:adjustRightInd w:val="0"/>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 xml:space="preserve">法定代表人或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法定代表人或</w:t>
      </w:r>
    </w:p>
    <w:p w14:paraId="21188BB0">
      <w:pPr>
        <w:adjustRightInd w:val="0"/>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其授权</w:t>
      </w:r>
      <w:r>
        <w:rPr>
          <w:rFonts w:hint="eastAsia" w:ascii="宋体" w:hAnsi="宋体" w:eastAsia="宋体" w:cs="宋体"/>
          <w:color w:val="000000"/>
          <w:sz w:val="24"/>
          <w:szCs w:val="24"/>
        </w:rPr>
        <w:t>的代理人：</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其授权</w:t>
      </w:r>
      <w:r>
        <w:rPr>
          <w:rFonts w:hint="eastAsia" w:ascii="宋体" w:hAnsi="宋体" w:eastAsia="宋体" w:cs="宋体"/>
          <w:color w:val="000000"/>
          <w:sz w:val="24"/>
          <w:szCs w:val="24"/>
        </w:rPr>
        <w:t>的代理人：</w:t>
      </w:r>
      <w:r>
        <w:rPr>
          <w:rFonts w:hint="eastAsia" w:ascii="宋体" w:hAnsi="宋体" w:eastAsia="宋体" w:cs="宋体"/>
          <w:color w:val="000000"/>
          <w:sz w:val="24"/>
          <w:szCs w:val="24"/>
          <w:u w:val="single"/>
        </w:rPr>
        <w:t xml:space="preserve">                     </w:t>
      </w:r>
    </w:p>
    <w:p w14:paraId="3E2D3AAC">
      <w:pPr>
        <w:adjustRightInd w:val="0"/>
        <w:snapToGrid w:val="0"/>
        <w:spacing w:line="360" w:lineRule="auto"/>
        <w:ind w:left="4080" w:hanging="4080" w:hangingChars="1700"/>
        <w:rPr>
          <w:rFonts w:hint="eastAsia" w:ascii="宋体" w:hAnsi="宋体" w:eastAsia="宋体" w:cs="宋体"/>
          <w:color w:val="000000"/>
          <w:sz w:val="24"/>
          <w:szCs w:val="24"/>
        </w:rPr>
      </w:pP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开户银行：</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0AE914D">
      <w:pPr>
        <w:adjustRightInd w:val="0"/>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账号：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账号：</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p>
    <w:p w14:paraId="161A2F91">
      <w:pPr>
        <w:adjustRightInd w:val="0"/>
        <w:snapToGrid w:val="0"/>
        <w:spacing w:line="360" w:lineRule="auto"/>
        <w:rPr>
          <w:rFonts w:hint="eastAsia" w:ascii="宋体" w:hAnsi="宋体" w:eastAsia="宋体" w:cs="宋体"/>
          <w:color w:val="000000"/>
          <w:sz w:val="24"/>
          <w:szCs w:val="24"/>
          <w:u w:val="single"/>
        </w:rPr>
      </w:pPr>
      <w:r>
        <w:rPr>
          <w:rFonts w:hint="eastAsia" w:ascii="宋体" w:hAnsi="宋体" w:eastAsia="宋体" w:cs="宋体"/>
          <w:color w:val="000000"/>
          <w:sz w:val="24"/>
          <w:szCs w:val="24"/>
        </w:rPr>
        <w:t>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电话：</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9D980C2">
      <w:pPr>
        <w:adjustRightInd w:val="0"/>
        <w:snapToGrid w:val="0"/>
        <w:spacing w:line="360" w:lineRule="auto"/>
        <w:rPr>
          <w:rFonts w:hint="eastAsia" w:ascii="宋体" w:hAnsi="宋体" w:eastAsia="宋体" w:cs="宋体"/>
          <w:color w:val="000000"/>
          <w:sz w:val="24"/>
          <w:szCs w:val="24"/>
        </w:rPr>
      </w:pPr>
      <w:r>
        <w:rPr>
          <w:rFonts w:hint="eastAsia" w:ascii="宋体" w:hAnsi="宋体" w:eastAsia="宋体" w:cs="宋体"/>
          <w:color w:val="000000"/>
          <w:sz w:val="24"/>
          <w:szCs w:val="24"/>
        </w:rPr>
        <w:t>传真：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传真：</w:t>
      </w:r>
      <w:r>
        <w:rPr>
          <w:rFonts w:hint="eastAsia" w:ascii="宋体" w:hAnsi="宋体" w:eastAsia="宋体" w:cs="宋体"/>
          <w:color w:val="000000"/>
          <w:sz w:val="24"/>
          <w:szCs w:val="24"/>
          <w:u w:val="single"/>
        </w:rPr>
        <w:t xml:space="preserve">                         </w:t>
      </w:r>
    </w:p>
    <w:p w14:paraId="36028C05">
      <w:pPr>
        <w:adjustRightInd w:val="0"/>
        <w:snapToGrid w:val="0"/>
        <w:spacing w:line="360" w:lineRule="auto"/>
        <w:rPr>
          <w:rFonts w:hint="eastAsia" w:ascii="宋体" w:hAnsi="宋体" w:eastAsia="宋体" w:cs="宋体"/>
          <w:b/>
          <w:color w:val="000000"/>
          <w:sz w:val="24"/>
          <w:szCs w:val="24"/>
        </w:rPr>
      </w:pPr>
      <w:r>
        <w:rPr>
          <w:rFonts w:hint="eastAsia" w:ascii="宋体" w:hAnsi="宋体" w:eastAsia="宋体" w:cs="宋体"/>
          <w:color w:val="000000"/>
          <w:sz w:val="24"/>
          <w:szCs w:val="24"/>
        </w:rPr>
        <w:t>电子邮箱：</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w:t>
      </w:r>
      <w:r>
        <w:rPr>
          <w:rFonts w:hint="eastAsia" w:ascii="宋体" w:hAnsi="宋体" w:cs="宋体"/>
          <w:color w:val="000000"/>
          <w:sz w:val="24"/>
          <w:szCs w:val="24"/>
          <w:lang w:val="en-US" w:eastAsia="zh-CN"/>
        </w:rPr>
        <w:t xml:space="preserve">      </w:t>
      </w:r>
      <w:r>
        <w:rPr>
          <w:rFonts w:hint="eastAsia" w:ascii="宋体" w:hAnsi="宋体" w:eastAsia="宋体" w:cs="宋体"/>
          <w:color w:val="000000"/>
          <w:sz w:val="24"/>
          <w:szCs w:val="24"/>
        </w:rPr>
        <w:t>电子邮箱：</w:t>
      </w:r>
      <w:r>
        <w:rPr>
          <w:rFonts w:hint="eastAsia" w:ascii="宋体" w:hAnsi="宋体" w:eastAsia="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eastAsia="宋体" w:cs="宋体"/>
          <w:color w:val="000000"/>
          <w:sz w:val="24"/>
          <w:szCs w:val="24"/>
          <w:u w:val="single"/>
        </w:rPr>
        <w:t xml:space="preserve">         </w:t>
      </w:r>
    </w:p>
    <w:p w14:paraId="546D7E2D">
      <w:pPr>
        <w:spacing w:line="360" w:lineRule="auto"/>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5212F2"/>
    <w:rsid w:val="06C8202F"/>
    <w:rsid w:val="075212F2"/>
    <w:rsid w:val="20126D60"/>
    <w:rsid w:val="2A500BB0"/>
    <w:rsid w:val="389E51DD"/>
    <w:rsid w:val="473236C0"/>
    <w:rsid w:val="4DC332C4"/>
    <w:rsid w:val="6F433366"/>
    <w:rsid w:val="7680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style>
  <w:style w:type="paragraph" w:styleId="3">
    <w:name w:val="Body Text Indent"/>
    <w:basedOn w:val="1"/>
    <w:uiPriority w:val="99"/>
    <w:pPr>
      <w:ind w:firstLine="630"/>
    </w:pPr>
    <w:rPr>
      <w:sz w:val="32"/>
      <w:szCs w:val="20"/>
    </w:rPr>
  </w:style>
  <w:style w:type="paragraph" w:styleId="4">
    <w:name w:val="Body Text First Indent"/>
    <w:basedOn w:val="2"/>
    <w:qFormat/>
    <w:uiPriority w:val="0"/>
    <w:pPr>
      <w:widowControl w:val="0"/>
      <w:spacing w:after="120"/>
      <w:ind w:firstLine="420" w:firstLineChars="100"/>
      <w:jc w:val="both"/>
    </w:pPr>
    <w:rPr>
      <w:rFonts w:ascii="Times New Roman" w:hAnsi="Times New Roman" w:eastAsia="宋体" w:cs="Times New Roman"/>
      <w:kern w:val="2"/>
      <w:sz w:val="21"/>
      <w:szCs w:val="24"/>
      <w:lang w:val="en-US" w:eastAsia="zh-CN" w:bidi="ar-SA"/>
    </w:rPr>
  </w:style>
  <w:style w:type="paragraph" w:styleId="5">
    <w:name w:val="Body Text First Indent 2"/>
    <w:basedOn w:val="3"/>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2024-12-02T05:13:00Z</dcterms:created>
  <dc:creator>叶永健</dc:creator>
  <cp:lastModifiedBy>叶永健</cp:lastModifiedBy>
  <dcterms:modified xsi:type="dcterms:W3CDTF">2024-12-02T05:31:50Z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10601F45F76445C5BEC635C51EA56C8E_11</vt:lpwstr>
  </property>
</Properties>
</file>