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版本号：241212001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专用设备购置项目(二次)</w:t>
      </w:r>
    </w:p>
    <w:p>
      <w:pPr>
        <w:pStyle w:val="null3"/>
        <w:jc w:val="center"/>
        <w:outlineLvl w:val="2"/>
      </w:pPr>
      <w:r>
        <w:rPr>
          <w:sz w:val="28"/>
          <w:b/>
        </w:rPr>
        <w:t>采购项目编号：</w:t>
      </w:r>
      <w:r>
        <w:rPr>
          <w:sz w:val="28"/>
          <w:b/>
        </w:rPr>
        <w:t>HYTH-202409091（2）</w:t>
      </w:r>
      <w:r>
        <w:br/>
      </w:r>
      <w:r>
        <w:br/>
      </w:r>
      <w:r>
        <w:br/>
      </w:r>
    </w:p>
    <w:p>
      <w:pPr>
        <w:pStyle w:val="null3"/>
        <w:jc w:val="center"/>
        <w:outlineLvl w:val="2"/>
      </w:pPr>
      <w:r>
        <w:rPr>
          <w:sz w:val="28"/>
          <w:b/>
        </w:rPr>
        <w:t>西安市临潼区人民医院</w:t>
      </w:r>
    </w:p>
    <w:p>
      <w:pPr>
        <w:pStyle w:val="null3"/>
        <w:jc w:val="center"/>
        <w:outlineLvl w:val="2"/>
      </w:pPr>
      <w:r>
        <w:rPr>
          <w:sz w:val="28"/>
          <w:b/>
        </w:rPr>
        <w:t>陕西四方衡裕项目管理有限公司</w:t>
      </w:r>
      <w:r>
        <w:rPr>
          <w:sz w:val="28"/>
          <w:b/>
        </w:rPr>
        <w:t>共同编制</w:t>
      </w:r>
    </w:p>
    <w:p>
      <w:pPr>
        <w:pStyle w:val="null3"/>
        <w:jc w:val="center"/>
        <w:outlineLvl w:val="2"/>
      </w:pPr>
      <w:r>
        <w:rPr>
          <w:sz w:val="28"/>
          <w:b/>
        </w:rPr>
        <w:t>2024年12月12日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陕西四方衡裕项目管理有限公司</w:t>
      </w:r>
      <w:r>
        <w:rPr/>
        <w:t>（以下简称“代理机构”）受</w:t>
      </w:r>
      <w:r>
        <w:rPr/>
        <w:t>西安市临潼区人民医院</w:t>
      </w:r>
      <w:r>
        <w:rPr/>
        <w:t>委托，拟对</w:t>
      </w:r>
      <w:r>
        <w:rPr/>
        <w:t>专用设备购置项目(二次)</w:t>
      </w:r>
      <w:r>
        <w:rPr/>
        <w:t>进行国内公开招标，兹邀请符合本次招标要求的供应商参加投标。</w:t>
      </w:r>
    </w:p>
    <w:p>
      <w:pPr>
        <w:pStyle w:val="null3"/>
        <w:outlineLvl w:val="2"/>
      </w:pPr>
      <w:r>
        <w:rPr>
          <w:sz w:val="28"/>
          <w:b/>
        </w:rPr>
        <w:t>一、采购项目编号：</w:t>
      </w:r>
      <w:r>
        <w:rPr>
          <w:sz w:val="28"/>
          <w:b/>
        </w:rPr>
        <w:t>HYTH-202409091（2）</w:t>
      </w:r>
    </w:p>
    <w:p>
      <w:pPr>
        <w:pStyle w:val="null3"/>
        <w:outlineLvl w:val="2"/>
      </w:pPr>
      <w:r>
        <w:rPr>
          <w:sz w:val="28"/>
          <w:b/>
        </w:rPr>
        <w:t>二、采购项目名称：</w:t>
      </w:r>
      <w:r>
        <w:rPr>
          <w:sz w:val="28"/>
          <w:b/>
        </w:rPr>
        <w:t>专用设备购置项目(二次)</w:t>
      </w:r>
    </w:p>
    <w:p>
      <w:pPr>
        <w:pStyle w:val="null3"/>
        <w:outlineLvl w:val="2"/>
      </w:pPr>
      <w:r>
        <w:rPr>
          <w:sz w:val="28"/>
          <w:b/>
        </w:rPr>
        <w:t>三、招标项目简介</w:t>
      </w:r>
    </w:p>
    <w:p>
      <w:pPr>
        <w:pStyle w:val="null3"/>
        <w:ind w:firstLine="480"/>
      </w:pPr>
      <w:r>
        <w:rPr/>
        <w:t>西安市临潼区人民医院专用设备购置项目（二次），1批，为便携彩色多普勒超声诊断仪(肌骨)及体外冲击波治疗仪。</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采购包1（西安市临潼区人民医院专用设备购置项目采购包2）：属于专门面向中小企业采购。</w:t>
      </w:r>
    </w:p>
    <w:p>
      <w:pPr>
        <w:pStyle w:val="null3"/>
        <w:ind w:firstLine="480"/>
      </w:pPr>
      <w:r>
        <w:rPr/>
        <w:t>（三）本项目的特定资格要求：</w:t>
      </w:r>
    </w:p>
    <w:p>
      <w:pPr>
        <w:pStyle w:val="null3"/>
      </w:pPr>
      <w:r>
        <w:rPr/>
        <w:t>采购包1：</w:t>
      </w:r>
    </w:p>
    <w:p>
      <w:pPr>
        <w:pStyle w:val="null3"/>
      </w:pPr>
      <w:r>
        <w:rPr/>
        <w:t>1、营业执照等主体资格证明文件：提供有效存续的企业营业执照/事业单位法人证书/专业服务机构执业许可证/民办非企业单位登记证书，自然人投标的提供其身份证明；</w:t>
      </w:r>
    </w:p>
    <w:p>
      <w:pPr>
        <w:pStyle w:val="null3"/>
      </w:pPr>
      <w:r>
        <w:rPr/>
        <w:t>2、财务状况报告：提供2023年度经审计的有效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pPr>
        <w:pStyle w:val="null3"/>
      </w:pPr>
      <w:r>
        <w:rPr/>
        <w:t>3、税收缴纳证明：提供2024年4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t>4、社保缴纳证明：提供2024年4月至今已缴存任意一个月社会保障资金缴存单据或社保机构开具的社会保险参保缴费证明，依法不需要缴纳社会保障资金的单位应提供相应证明文件；</w:t>
      </w:r>
    </w:p>
    <w:p>
      <w:pPr>
        <w:pStyle w:val="null3"/>
      </w:pPr>
      <w:r>
        <w:rPr/>
        <w:t>5、履行合同所必需的设备和专业技术能力：具备履行合同所必需的设备和专业技术能力的证明材料或书面声明；</w:t>
      </w:r>
    </w:p>
    <w:p>
      <w:pPr>
        <w:pStyle w:val="null3"/>
      </w:pPr>
      <w:r>
        <w:rPr/>
        <w:t>6、采购活动前三年内在经营活动中没有重大违法记录：参加政府采购活动前三年内在经营活动中没有重大违法记录的书面声明；</w:t>
      </w:r>
    </w:p>
    <w:p>
      <w:pPr>
        <w:pStyle w:val="null3"/>
      </w:pPr>
      <w:r>
        <w:rPr/>
        <w:t>7、法律、行政法规规定的其他条件：具备法律、行政法规规定的其他条件的证明材料。</w:t>
      </w:r>
    </w:p>
    <w:p>
      <w:pPr>
        <w:pStyle w:val="null3"/>
      </w:pPr>
      <w:r>
        <w:rPr/>
        <w:t>8、资质证书：投标人为经销商的须提供医疗器械经营许可证或医疗器械经营备案凭证、制造厂家的医疗器械生产许可证或医疗器械生产备案凭证，产品列入医疗器械管理的须提供相应的医疗器械注册证（有效期内）；投标人为制造厂家的须提供医疗器械生产许可证或医疗器械生产备案凭证、产品列入医疗器械管理的须提供相应的医疗器械注册证（有效期内）。</w:t>
      </w:r>
    </w:p>
    <w:p>
      <w:pPr>
        <w:pStyle w:val="null3"/>
      </w:pPr>
      <w:r>
        <w:rPr/>
        <w:t>9、企业信用查询：投标人通过“信用中国”网站(www.creditchina.gov.cn)、中国政府采购网(www.ccgp.gov.cn)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投标人，采购代理机构将拒绝其参与政府采购活动。）</w:t>
      </w:r>
    </w:p>
    <w:p>
      <w:pPr>
        <w:pStyle w:val="null3"/>
      </w:pPr>
      <w:r>
        <w:rPr/>
        <w:t>10、法定代表人授权委托书：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p>
      <w:pPr>
        <w:pStyle w:val="null3"/>
      </w:pPr>
      <w:r>
        <w:rPr/>
        <w:t>11、本项目不接受联合体投标，不允许分包：本项目不接受联合体投标，不允许分包。投标人提供《非联合体不分包投标声明》，视为独立投标，不分包。</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西安市临潼区人民医院</w:t>
      </w:r>
    </w:p>
    <w:p>
      <w:pPr>
        <w:pStyle w:val="null3"/>
      </w:pPr>
      <w:r>
        <w:rPr/>
        <w:t xml:space="preserve"> 地址： </w:t>
      </w:r>
      <w:r>
        <w:rPr/>
        <w:t>西安市临潼区西关正街2号</w:t>
      </w:r>
    </w:p>
    <w:p>
      <w:pPr>
        <w:pStyle w:val="null3"/>
      </w:pPr>
      <w:r>
        <w:rPr/>
        <w:t xml:space="preserve"> 邮编： </w:t>
      </w:r>
      <w:r>
        <w:rPr/>
        <w:t xml:space="preserve"> 710600</w:t>
      </w:r>
    </w:p>
    <w:p>
      <w:pPr>
        <w:pStyle w:val="null3"/>
      </w:pPr>
      <w:r>
        <w:rPr/>
        <w:t xml:space="preserve"> 联系人： </w:t>
      </w:r>
      <w:r>
        <w:rPr/>
        <w:t>白老师</w:t>
      </w:r>
    </w:p>
    <w:p>
      <w:pPr>
        <w:pStyle w:val="null3"/>
      </w:pPr>
      <w:r>
        <w:rPr/>
        <w:t xml:space="preserve"> 联系电话： </w:t>
      </w:r>
      <w:r>
        <w:rPr/>
        <w:t>029-83827516</w:t>
      </w:r>
    </w:p>
    <w:p>
      <w:pPr>
        <w:pStyle w:val="null3"/>
        <w:outlineLvl w:val="2"/>
      </w:pPr>
      <w:r>
        <w:rPr>
          <w:sz w:val="28"/>
          <w:b/>
        </w:rPr>
        <w:t>代理机构：</w:t>
      </w:r>
      <w:r>
        <w:rPr>
          <w:sz w:val="28"/>
          <w:b/>
        </w:rPr>
        <w:t>陕西四方衡裕项目管理有限公司</w:t>
      </w:r>
    </w:p>
    <w:p>
      <w:pPr>
        <w:pStyle w:val="null3"/>
      </w:pPr>
      <w:r>
        <w:rPr/>
        <w:t xml:space="preserve"> 地址： </w:t>
      </w:r>
      <w:r>
        <w:rPr/>
        <w:t>西安市高新区沣惠路16号泰华金贸国际8号楼28层</w:t>
      </w:r>
    </w:p>
    <w:p>
      <w:pPr>
        <w:pStyle w:val="null3"/>
      </w:pPr>
      <w:r>
        <w:rPr/>
        <w:t xml:space="preserve"> 邮编： </w:t>
      </w:r>
      <w:r>
        <w:rPr/>
        <w:t>710000</w:t>
      </w:r>
    </w:p>
    <w:p>
      <w:pPr>
        <w:pStyle w:val="null3"/>
      </w:pPr>
      <w:r>
        <w:rPr/>
        <w:t xml:space="preserve"> 联系人： </w:t>
      </w:r>
      <w:r>
        <w:rPr/>
        <w:t>李亚容、赵维</w:t>
      </w:r>
    </w:p>
    <w:p>
      <w:pPr>
        <w:pStyle w:val="null3"/>
      </w:pPr>
      <w:r>
        <w:rPr/>
        <w:t xml:space="preserve"> 联系电话： </w:t>
      </w:r>
      <w:r>
        <w:rPr/>
        <w:t>029-89284433-605</w:t>
      </w:r>
    </w:p>
    <w:p>
      <w:pPr>
        <w:pStyle w:val="null3"/>
        <w:outlineLvl w:val="2"/>
      </w:pPr>
      <w:r>
        <w:rPr>
          <w:sz w:val="28"/>
          <w:b/>
        </w:rPr>
        <w:t>采购监督机构：</w:t>
      </w:r>
      <w:r>
        <w:rPr>
          <w:sz w:val="28"/>
          <w:b/>
        </w:rPr>
        <w:t>西安市临潼区政府采购管理股</w:t>
      </w:r>
    </w:p>
    <w:p>
      <w:pPr>
        <w:pStyle w:val="null3"/>
        <w:ind w:firstLine="480"/>
      </w:pPr>
      <w:r>
        <w:rPr/>
        <w:t>联系人：</w:t>
      </w:r>
      <w:r>
        <w:rPr/>
        <w:t>马明</w:t>
      </w:r>
    </w:p>
    <w:p>
      <w:pPr>
        <w:pStyle w:val="null3"/>
        <w:ind w:firstLine="480"/>
      </w:pPr>
      <w:r>
        <w:rPr/>
        <w:t>联系电话：</w:t>
      </w:r>
      <w:r>
        <w:rPr/>
        <w:t>83825758</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采购包1：630,000.00元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代理服务费收费标准：以中标金额为取费基数，采购代理服务费参照《国家计委关于印发&lt;招标 代理服务收费管理暂行办法&gt;的通知》（计价格[2002]1980号）和（发改办价格[2011]534号 ）文件规定的标准收取。 代理服务费缴纳账户信息： 银行户名：陕西四方衡裕项目管理有限公司；开户银行：兴业银行股份有限公司西安锦业路支行；账号：456700100100008334；联系人 ：蔡月茹 方淑丽；联系电话：029-89284433。</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西安市临潼区人民医院</w:t>
      </w:r>
      <w:r>
        <w:rPr/>
        <w:t>和</w:t>
      </w:r>
      <w:r>
        <w:rPr/>
        <w:t>陕西四方衡裕项目管理有限公司</w:t>
      </w:r>
      <w:r>
        <w:rPr/>
        <w:t>享有。对招标文件中供应商参加本次政府采购活动应当具备的条件，招标项目技术、服务、商务及其他要求，评标细则及标准由</w:t>
      </w:r>
      <w:r>
        <w:rPr/>
        <w:t>西安市临潼区人民医院</w:t>
      </w:r>
      <w:r>
        <w:rPr/>
        <w:t>负责解释。除上述招标文件内容，其他内容由</w:t>
      </w:r>
      <w:r>
        <w:rPr/>
        <w:t>陕西四方衡裕项目管理有限公司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西安市临潼区人民医院</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陕西四方衡裕项目管理有限公司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详见供货合同</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陕西四方衡裕项目管理有限公司</w:t>
      </w:r>
      <w:r>
        <w:rPr/>
        <w:t xml:space="preserve"> 负责答复；供应商对除采购需求外的采购文件的询问、质疑由</w:t>
      </w:r>
      <w:r>
        <w:rPr/>
        <w:t>陕西四方衡裕项目管理有限公司</w:t>
      </w:r>
      <w:r>
        <w:rPr/>
        <w:t xml:space="preserve"> 负责答复；供应商对采购过程、采购结果的询问、质疑由 </w:t>
      </w:r>
      <w:r>
        <w:rPr/>
        <w:t>陕西四方衡裕项目管理有限公司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联系人：赵维、李亚容</w:t>
      </w:r>
    </w:p>
    <w:p>
      <w:pPr>
        <w:pStyle w:val="null3"/>
      </w:pPr>
      <w:r>
        <w:rPr/>
        <w:t>联系电话：029-89284433-605</w:t>
      </w:r>
    </w:p>
    <w:p>
      <w:pPr>
        <w:pStyle w:val="null3"/>
      </w:pPr>
      <w:r>
        <w:rPr/>
        <w:t>地址：西安市高新区沣惠路16号泰华金贸国际8号楼28层</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西安市临潼区人民医院专用设备购置项目（二次），1批，为便携彩色多普勒超声诊断仪(肌骨)及体外冲击波治疗仪。</w:t>
      </w:r>
    </w:p>
    <w:p>
      <w:pPr>
        <w:pStyle w:val="null3"/>
        <w:outlineLvl w:val="2"/>
      </w:pPr>
      <w:r>
        <w:rPr>
          <w:sz w:val="28"/>
          <w:b/>
        </w:rPr>
        <w:t>3.2采购内容</w:t>
      </w:r>
    </w:p>
    <w:p>
      <w:pPr>
        <w:pStyle w:val="null3"/>
      </w:pPr>
      <w:r>
        <w:rPr/>
        <w:t>采购包1：</w:t>
      </w:r>
    </w:p>
    <w:p>
      <w:pPr>
        <w:pStyle w:val="null3"/>
      </w:pPr>
      <w:r>
        <w:rPr/>
        <w:t>采购包预算金额（元）: 630,000.00</w:t>
      </w:r>
    </w:p>
    <w:p>
      <w:pPr>
        <w:pStyle w:val="null3"/>
      </w:pPr>
      <w:r>
        <w:rPr/>
        <w:t>采购包最高限价（元）: 630,000.00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便携彩色多普勒超声诊断仪（肌骨）及体外冲击波治疗仪</w:t>
            </w:r>
          </w:p>
        </w:tc>
        <w:tc>
          <w:tcPr>
            <w:tcW w:type="dxa" w:w="831"/>
          </w:tcPr>
          <w:p>
            <w:pPr>
              <w:pStyle w:val="null3"/>
              <w:jc w:val="right"/>
            </w:pPr>
            <w:r>
              <w:rPr/>
              <w:t>1.00</w:t>
            </w:r>
          </w:p>
        </w:tc>
        <w:tc>
          <w:tcPr>
            <w:tcW w:type="dxa" w:w="831"/>
          </w:tcPr>
          <w:p>
            <w:pPr>
              <w:pStyle w:val="null3"/>
              <w:jc w:val="right"/>
            </w:pPr>
            <w:r>
              <w:rPr/>
              <w:t>630,000.00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标的名称：便携彩色多普勒超声诊断仪（肌骨）及体外冲击波治疗仪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宋体" w:hAnsi="宋体" w:cs="宋体" w:eastAsia="宋体"/>
                <w:sz w:val="24"/>
                <w:b/>
              </w:rPr>
              <w:t>一、项目概况</w:t>
            </w:r>
          </w:p>
          <w:p>
            <w:pPr>
              <w:pStyle w:val="null3"/>
              <w:ind w:left="405"/>
            </w:pPr>
            <w:r>
              <w:rPr>
                <w:rFonts w:ascii="calibri" w:hAnsi="calibri" w:cs="calibri" w:eastAsia="calibri"/>
                <w:sz w:val="24"/>
              </w:rPr>
              <w:t>1.</w:t>
            </w:r>
            <w:r>
              <w:rPr>
                <w:rFonts w:ascii="宋体" w:hAnsi="宋体" w:cs="宋体" w:eastAsia="宋体"/>
                <w:sz w:val="24"/>
              </w:rPr>
              <w:t>西安市临潼区人民医院专用设备购置项目，</w:t>
            </w:r>
            <w:r>
              <w:rPr>
                <w:rFonts w:ascii="calibri" w:hAnsi="calibri" w:cs="calibri" w:eastAsia="calibri"/>
                <w:sz w:val="24"/>
              </w:rPr>
              <w:t>1</w:t>
            </w:r>
            <w:r>
              <w:rPr>
                <w:rFonts w:ascii="宋体" w:hAnsi="宋体" w:cs="宋体" w:eastAsia="宋体"/>
                <w:sz w:val="24"/>
              </w:rPr>
              <w:t>批。</w:t>
            </w:r>
          </w:p>
          <w:p>
            <w:pPr>
              <w:pStyle w:val="null3"/>
              <w:ind w:left="405"/>
            </w:pPr>
            <w:r>
              <w:rPr>
                <w:rFonts w:ascii="calibri" w:hAnsi="calibri" w:cs="calibri" w:eastAsia="calibri"/>
                <w:sz w:val="24"/>
                <w:b/>
              </w:rPr>
              <w:t>2.</w:t>
            </w:r>
            <w:r>
              <w:rPr>
                <w:rFonts w:ascii="宋体" w:hAnsi="宋体" w:cs="宋体" w:eastAsia="宋体"/>
                <w:sz w:val="24"/>
                <w:b/>
              </w:rPr>
              <w:t>核心产品为</w:t>
            </w:r>
            <w:r>
              <w:rPr>
                <w:rFonts w:ascii="calibri" w:hAnsi="calibri" w:cs="calibri" w:eastAsia="calibri"/>
                <w:sz w:val="24"/>
                <w:b/>
              </w:rPr>
              <w:t>:</w:t>
            </w:r>
            <w:r>
              <w:rPr>
                <w:rFonts w:ascii="宋体" w:hAnsi="宋体" w:cs="宋体" w:eastAsia="宋体"/>
                <w:sz w:val="24"/>
                <w:b/>
              </w:rPr>
              <w:t>彩色多普勒超声波诊断仪。</w:t>
            </w:r>
          </w:p>
          <w:p>
            <w:pPr>
              <w:pStyle w:val="null3"/>
            </w:pPr>
            <w:r>
              <w:rPr>
                <w:rFonts w:ascii="宋体" w:hAnsi="宋体" w:cs="宋体" w:eastAsia="宋体"/>
                <w:sz w:val="24"/>
                <w:b/>
              </w:rPr>
              <w:t>二、技术参数</w:t>
            </w:r>
          </w:p>
          <w:p>
            <w:pPr>
              <w:pStyle w:val="null3"/>
              <w:jc w:val="center"/>
            </w:pPr>
            <w:r>
              <w:rPr>
                <w:rFonts w:ascii="宋体" w:hAnsi="宋体" w:cs="宋体" w:eastAsia="宋体"/>
                <w:sz w:val="24"/>
                <w:b/>
              </w:rPr>
              <w:t>彩色多普勒超声波诊断仪</w:t>
            </w:r>
            <w:r>
              <w:rPr>
                <w:rFonts w:ascii="宋体" w:hAnsi="宋体" w:cs="宋体" w:eastAsia="宋体"/>
                <w:sz w:val="24"/>
                <w:b/>
              </w:rPr>
              <w:t>技术参数</w:t>
            </w:r>
          </w:p>
          <w:p>
            <w:pPr>
              <w:pStyle w:val="null3"/>
              <w:ind w:left="405"/>
            </w:pPr>
            <w:r>
              <w:rPr>
                <w:rFonts w:ascii="宋体" w:hAnsi="宋体" w:cs="宋体" w:eastAsia="宋体"/>
                <w:sz w:val="24"/>
                <w:b/>
              </w:rPr>
              <w:t>（</w:t>
            </w:r>
            <w:r>
              <w:rPr>
                <w:rFonts w:ascii="宋体" w:hAnsi="宋体" w:cs="宋体" w:eastAsia="宋体"/>
                <w:sz w:val="24"/>
                <w:b/>
              </w:rPr>
              <w:t>一</w:t>
            </w:r>
            <w:r>
              <w:rPr>
                <w:rFonts w:ascii="宋体" w:hAnsi="宋体" w:cs="宋体" w:eastAsia="宋体"/>
                <w:sz w:val="24"/>
                <w:b/>
              </w:rPr>
              <w:t>）</w:t>
            </w:r>
            <w:r>
              <w:rPr>
                <w:rFonts w:ascii="宋体" w:hAnsi="宋体" w:cs="宋体" w:eastAsia="宋体"/>
                <w:sz w:val="24"/>
                <w:b/>
              </w:rPr>
              <w:t>设备名称：</w:t>
            </w:r>
            <w:r>
              <w:rPr>
                <w:rFonts w:ascii="宋体" w:hAnsi="宋体" w:cs="宋体" w:eastAsia="宋体"/>
                <w:sz w:val="24"/>
              </w:rPr>
              <w:t>彩色多普勒超声波诊断仪，数量</w:t>
            </w:r>
            <w:r>
              <w:rPr>
                <w:rFonts w:ascii="宋体" w:hAnsi="宋体" w:cs="宋体" w:eastAsia="宋体"/>
                <w:sz w:val="24"/>
              </w:rPr>
              <w:t>1套。</w:t>
            </w:r>
          </w:p>
          <w:p>
            <w:pPr>
              <w:pStyle w:val="null3"/>
              <w:ind w:left="405"/>
            </w:pPr>
            <w:r>
              <w:rPr>
                <w:rFonts w:ascii="宋体" w:hAnsi="宋体" w:cs="宋体" w:eastAsia="宋体"/>
                <w:sz w:val="24"/>
                <w:b/>
              </w:rPr>
              <w:t>（二）设备用途说明：</w:t>
            </w:r>
          </w:p>
          <w:p>
            <w:pPr>
              <w:pStyle w:val="null3"/>
              <w:ind w:left="405"/>
            </w:pPr>
            <w:r>
              <w:rPr>
                <w:rFonts w:ascii="宋体" w:hAnsi="宋体" w:cs="宋体" w:eastAsia="宋体"/>
                <w:sz w:val="24"/>
              </w:rPr>
              <w:t>心脏、腹部、妇产科、泌尿科、浅表组织与小器官、外周血管、小儿与新生儿、术中、穿刺等全身应用，系统需为最新系统。</w:t>
            </w:r>
          </w:p>
          <w:p>
            <w:pPr>
              <w:pStyle w:val="null3"/>
              <w:ind w:left="405"/>
            </w:pPr>
            <w:r>
              <w:rPr>
                <w:rFonts w:ascii="宋体" w:hAnsi="宋体" w:cs="宋体" w:eastAsia="宋体"/>
                <w:sz w:val="24"/>
                <w:b/>
              </w:rPr>
              <w:t>（三）主要技术指标</w:t>
            </w:r>
          </w:p>
          <w:p>
            <w:pPr>
              <w:pStyle w:val="null3"/>
              <w:ind w:left="405"/>
            </w:pPr>
            <w:r>
              <w:rPr>
                <w:rFonts w:ascii="宋体" w:hAnsi="宋体" w:cs="宋体" w:eastAsia="宋体"/>
                <w:sz w:val="24"/>
              </w:rPr>
              <w:t>3.1彩色多普勒超声波诊断仪包括：</w:t>
            </w:r>
          </w:p>
          <w:p>
            <w:pPr>
              <w:pStyle w:val="null3"/>
              <w:ind w:left="405"/>
            </w:pPr>
            <w:r>
              <w:rPr>
                <w:rFonts w:ascii="宋体" w:hAnsi="宋体" w:cs="宋体" w:eastAsia="宋体"/>
                <w:sz w:val="24"/>
              </w:rPr>
              <w:t>★</w:t>
            </w:r>
            <w:r>
              <w:rPr>
                <w:rFonts w:ascii="宋体" w:hAnsi="宋体" w:cs="宋体" w:eastAsia="宋体"/>
                <w:sz w:val="24"/>
              </w:rPr>
              <w:t>3.1.1高分辨率液晶显示器≥20英寸，扫描方式：逐行扫描，高分辨率。</w:t>
            </w:r>
          </w:p>
          <w:p>
            <w:pPr>
              <w:pStyle w:val="null3"/>
              <w:ind w:left="405"/>
            </w:pPr>
            <w:r>
              <w:rPr>
                <w:rFonts w:ascii="宋体" w:hAnsi="宋体" w:cs="宋体" w:eastAsia="宋体"/>
                <w:sz w:val="24"/>
              </w:rPr>
              <w:t>3.1.2 操作控制台可以上下调整</w:t>
            </w:r>
          </w:p>
          <w:p>
            <w:pPr>
              <w:pStyle w:val="null3"/>
              <w:ind w:left="405"/>
            </w:pPr>
            <w:r>
              <w:rPr>
                <w:rFonts w:ascii="宋体" w:hAnsi="宋体" w:cs="宋体" w:eastAsia="宋体"/>
                <w:sz w:val="24"/>
              </w:rPr>
              <w:t xml:space="preserve">3.1.3 </w:t>
            </w:r>
            <w:r>
              <w:rPr>
                <w:rFonts w:ascii="宋体" w:hAnsi="宋体" w:cs="宋体" w:eastAsia="宋体"/>
                <w:sz w:val="24"/>
              </w:rPr>
              <w:t>超高集成度超声成像平台</w:t>
            </w:r>
            <w:r>
              <w:rPr>
                <w:rFonts w:ascii="宋体" w:hAnsi="宋体" w:cs="宋体" w:eastAsia="宋体"/>
                <w:sz w:val="24"/>
              </w:rPr>
              <w:t>：</w:t>
            </w:r>
            <w:r>
              <w:rPr>
                <w:rFonts w:ascii="宋体" w:hAnsi="宋体" w:cs="宋体" w:eastAsia="宋体"/>
                <w:sz w:val="24"/>
              </w:rPr>
              <w:t>a）应用板级集成优化技术，提高内部电路的整合程度，减少信号丢失，提高信噪比；b）应用多功能单元整合技术，将主机内部多个功能单元有机整合为可拆卸化整体结构，缩短维修时间，并降低维修成本和停机时间</w:t>
            </w:r>
          </w:p>
          <w:p>
            <w:pPr>
              <w:pStyle w:val="null3"/>
              <w:ind w:left="405"/>
            </w:pPr>
            <w:r>
              <w:rPr>
                <w:rFonts w:ascii="宋体" w:hAnsi="宋体" w:cs="宋体" w:eastAsia="宋体"/>
                <w:sz w:val="24"/>
              </w:rPr>
              <w:t>3.1.4 数字化二维灰阶成像单元</w:t>
            </w:r>
          </w:p>
          <w:p>
            <w:pPr>
              <w:pStyle w:val="null3"/>
              <w:ind w:left="405"/>
            </w:pPr>
            <w:r>
              <w:rPr>
                <w:rFonts w:ascii="宋体" w:hAnsi="宋体" w:cs="宋体" w:eastAsia="宋体"/>
                <w:sz w:val="24"/>
              </w:rPr>
              <w:t>3.1.5 数字化M型成像单元</w:t>
            </w:r>
          </w:p>
          <w:p>
            <w:pPr>
              <w:pStyle w:val="null3"/>
              <w:ind w:left="405"/>
            </w:pPr>
            <w:r>
              <w:rPr>
                <w:rFonts w:ascii="宋体" w:hAnsi="宋体" w:cs="宋体" w:eastAsia="宋体"/>
                <w:sz w:val="24"/>
              </w:rPr>
              <w:t>3.1.6 数字化彩色多普勒血流成像单元</w:t>
            </w:r>
          </w:p>
          <w:p>
            <w:pPr>
              <w:pStyle w:val="null3"/>
              <w:ind w:left="405"/>
            </w:pPr>
            <w:r>
              <w:rPr>
                <w:rFonts w:ascii="宋体" w:hAnsi="宋体" w:cs="宋体" w:eastAsia="宋体"/>
                <w:sz w:val="24"/>
              </w:rPr>
              <w:t>3.1.7 数字化频谱多普勒显示和分析单元</w:t>
            </w:r>
          </w:p>
          <w:p>
            <w:pPr>
              <w:pStyle w:val="null3"/>
              <w:ind w:left="405"/>
            </w:pPr>
            <w:r>
              <w:rPr>
                <w:rFonts w:ascii="宋体" w:hAnsi="宋体" w:cs="宋体" w:eastAsia="宋体"/>
                <w:sz w:val="24"/>
              </w:rPr>
              <w:t>3.1.8 数字化能量多普勒，方向性能量图</w:t>
            </w:r>
          </w:p>
          <w:p>
            <w:pPr>
              <w:pStyle w:val="null3"/>
              <w:ind w:left="405"/>
            </w:pPr>
            <w:r>
              <w:rPr>
                <w:rFonts w:ascii="宋体" w:hAnsi="宋体" w:cs="宋体" w:eastAsia="宋体"/>
                <w:sz w:val="24"/>
              </w:rPr>
              <w:t>3.1.9 数字化波束形成器，多倍声束处理</w:t>
            </w:r>
          </w:p>
          <w:p>
            <w:pPr>
              <w:pStyle w:val="null3"/>
              <w:ind w:left="405"/>
            </w:pPr>
            <w:r>
              <w:rPr>
                <w:rFonts w:ascii="宋体" w:hAnsi="宋体" w:cs="宋体" w:eastAsia="宋体"/>
                <w:sz w:val="24"/>
              </w:rPr>
              <w:t>3.1.10 空间复合成像技术：三种模式，每种模式有3档调节；空间复合成像的聚焦宽度、帧平均、线密度等多种参数均有多级可调；可做曲线别针试验证明≥9线发射（提供证明材料，包括但不限于官网截图等）。</w:t>
            </w:r>
          </w:p>
          <w:p>
            <w:pPr>
              <w:pStyle w:val="null3"/>
              <w:ind w:left="405"/>
            </w:pPr>
            <w:r>
              <w:rPr>
                <w:rFonts w:ascii="宋体" w:hAnsi="宋体" w:cs="宋体" w:eastAsia="宋体"/>
                <w:sz w:val="24"/>
              </w:rPr>
              <w:t>3.1.11 斑点噪声抑制技术：可以支持所有探头，B模式下支持≥6级调节</w:t>
            </w:r>
          </w:p>
          <w:p>
            <w:pPr>
              <w:pStyle w:val="null3"/>
              <w:ind w:left="405"/>
            </w:pPr>
            <w:r>
              <w:rPr>
                <w:rFonts w:ascii="宋体" w:hAnsi="宋体" w:cs="宋体" w:eastAsia="宋体"/>
                <w:sz w:val="24"/>
              </w:rPr>
              <w:t>▲</w:t>
            </w:r>
            <w:r>
              <w:rPr>
                <w:rFonts w:ascii="宋体" w:hAnsi="宋体" w:cs="宋体" w:eastAsia="宋体"/>
                <w:sz w:val="24"/>
              </w:rPr>
              <w:t>3.1.12 一键实时扫查优化技术：扫查前按下面板上该功能键，B模式扫查过程中可以实时动态优化图像的灰度、对比度和一致性等参数；彩色多普勒扫查过程中可以实时动态优化彩色血流显示；频谱模式扫查中可实时动态优化基线，速度标尺等参数；切换扫查部位无需重复按键</w:t>
            </w:r>
          </w:p>
          <w:p>
            <w:pPr>
              <w:pStyle w:val="null3"/>
              <w:ind w:left="405"/>
            </w:pPr>
            <w:r>
              <w:rPr>
                <w:rFonts w:ascii="宋体" w:hAnsi="宋体" w:cs="宋体" w:eastAsia="宋体"/>
                <w:sz w:val="24"/>
              </w:rPr>
              <w:t>3.1.13 脉冲反相谐波成像（可用于所有探头）</w:t>
            </w:r>
          </w:p>
          <w:p>
            <w:pPr>
              <w:pStyle w:val="null3"/>
              <w:ind w:left="405"/>
            </w:pPr>
            <w:r>
              <w:rPr>
                <w:rFonts w:ascii="宋体" w:hAnsi="宋体" w:cs="宋体" w:eastAsia="宋体"/>
                <w:sz w:val="24"/>
              </w:rPr>
              <w:t>3.1.14 宽景成像，可用于包含相控阵在内的所有探头</w:t>
            </w:r>
          </w:p>
          <w:p>
            <w:pPr>
              <w:pStyle w:val="null3"/>
              <w:ind w:left="405"/>
            </w:pPr>
            <w:r>
              <w:rPr>
                <w:rFonts w:ascii="宋体" w:hAnsi="宋体" w:cs="宋体" w:eastAsia="宋体"/>
                <w:sz w:val="24"/>
              </w:rPr>
              <w:t>3.1.15 弹性成像及定量分析技术：一幅图中可取≥8个范围进行弹性系数分析，支持腹部、浅表和腔内探头</w:t>
            </w:r>
            <w:r>
              <w:rPr/>
              <w:t xml:space="preserve"> </w:t>
            </w:r>
          </w:p>
          <w:p>
            <w:pPr>
              <w:pStyle w:val="null3"/>
              <w:ind w:left="405"/>
            </w:pPr>
            <w:r>
              <w:rPr>
                <w:rFonts w:ascii="宋体" w:hAnsi="宋体" w:cs="宋体" w:eastAsia="宋体"/>
                <w:sz w:val="24"/>
              </w:rPr>
              <w:t>3.1.16 解剖M型，存储的动态图像仍可重新取M型图。</w:t>
            </w:r>
          </w:p>
          <w:p>
            <w:pPr>
              <w:pStyle w:val="null3"/>
              <w:ind w:left="405"/>
            </w:pPr>
            <w:r>
              <w:rPr>
                <w:rFonts w:ascii="宋体" w:hAnsi="宋体" w:cs="宋体" w:eastAsia="宋体"/>
                <w:sz w:val="24"/>
              </w:rPr>
              <w:t>3.1.17 曲线解剖M型</w:t>
            </w:r>
          </w:p>
          <w:p>
            <w:pPr>
              <w:pStyle w:val="null3"/>
              <w:ind w:left="405"/>
            </w:pPr>
            <w:r>
              <w:rPr>
                <w:rFonts w:ascii="宋体" w:hAnsi="宋体" w:cs="宋体" w:eastAsia="宋体"/>
                <w:sz w:val="24"/>
              </w:rPr>
              <w:t>3.1.18 组织多普勒：包括组织多普勒速度图，频谱图，Q-analysis定量分析曲线等</w:t>
            </w:r>
          </w:p>
          <w:p>
            <w:pPr>
              <w:pStyle w:val="null3"/>
              <w:ind w:left="405"/>
            </w:pPr>
            <w:r>
              <w:rPr>
                <w:rFonts w:ascii="宋体" w:hAnsi="宋体" w:cs="宋体" w:eastAsia="宋体"/>
                <w:sz w:val="24"/>
              </w:rPr>
              <w:t>3.1.19 血管内中膜厚度自动测量：可以在同切面且无需180°旋转切面方向的状态下先后测量血管前后壁的厚度，支持同屏获得</w:t>
            </w:r>
            <w:r>
              <w:rPr>
                <w:rFonts w:ascii="宋体" w:hAnsi="宋体" w:cs="宋体" w:eastAsia="宋体"/>
                <w:sz w:val="24"/>
              </w:rPr>
              <w:t>≥5</w:t>
            </w:r>
            <w:r>
              <w:rPr>
                <w:rFonts w:ascii="宋体" w:hAnsi="宋体" w:cs="宋体" w:eastAsia="宋体"/>
                <w:sz w:val="24"/>
              </w:rPr>
              <w:t>个测量参数</w:t>
            </w:r>
          </w:p>
          <w:p>
            <w:pPr>
              <w:pStyle w:val="null3"/>
              <w:ind w:left="405"/>
            </w:pPr>
            <w:r>
              <w:rPr>
                <w:rFonts w:ascii="宋体" w:hAnsi="宋体" w:cs="宋体" w:eastAsia="宋体"/>
                <w:sz w:val="24"/>
              </w:rPr>
              <w:t>3.1.20 产科自动测量软件：在进行胎儿常见5个参数指标（BPD/HC/AC/FL/HL等）测量时，系统可以自动识别、测量，并计算出结果</w:t>
            </w:r>
          </w:p>
          <w:p>
            <w:pPr>
              <w:pStyle w:val="null3"/>
              <w:ind w:left="405"/>
            </w:pPr>
            <w:r>
              <w:rPr>
                <w:rFonts w:ascii="宋体" w:hAnsi="宋体" w:cs="宋体" w:eastAsia="宋体"/>
                <w:sz w:val="24"/>
              </w:rPr>
              <w:t>▲</w:t>
            </w:r>
            <w:r>
              <w:rPr>
                <w:rFonts w:ascii="宋体" w:hAnsi="宋体" w:cs="宋体" w:eastAsia="宋体"/>
                <w:sz w:val="24"/>
              </w:rPr>
              <w:t>3.1.21 灰阶血流成像：非多普勒原理，非造影技术，最直观的显示红细胞运动，不受流速和角度限制、无血流外溢现象、无取样框、不会降低帧频等。</w:t>
            </w:r>
          </w:p>
          <w:p>
            <w:pPr>
              <w:pStyle w:val="null3"/>
              <w:ind w:left="405"/>
            </w:pPr>
            <w:r>
              <w:rPr>
                <w:rFonts w:ascii="宋体" w:hAnsi="宋体" w:cs="宋体" w:eastAsia="宋体"/>
                <w:sz w:val="24"/>
              </w:rPr>
              <w:t>3.1.22 灰阶血流成像彩色模式：在灰阶血流成像的基础上加彩色编码显示不同方向的血流</w:t>
            </w:r>
          </w:p>
          <w:p>
            <w:pPr>
              <w:pStyle w:val="null3"/>
              <w:ind w:left="405"/>
            </w:pPr>
            <w:r>
              <w:rPr>
                <w:rFonts w:ascii="宋体" w:hAnsi="宋体" w:cs="宋体" w:eastAsia="宋体"/>
                <w:sz w:val="24"/>
              </w:rPr>
              <w:t>3.1.23 内置快捷操作指导模块：通过文字、图片、视频等形式指导用户快速掌握机器操作，可随时调阅</w:t>
            </w:r>
          </w:p>
          <w:p>
            <w:pPr>
              <w:pStyle w:val="null3"/>
              <w:ind w:left="405"/>
            </w:pPr>
            <w:r>
              <w:rPr>
                <w:rFonts w:ascii="宋体" w:hAnsi="宋体" w:cs="宋体" w:eastAsia="宋体"/>
                <w:sz w:val="24"/>
              </w:rPr>
              <w:t>3.1.24 中文操作界面</w:t>
            </w:r>
          </w:p>
          <w:p>
            <w:pPr>
              <w:pStyle w:val="null3"/>
              <w:ind w:left="405"/>
            </w:pPr>
            <w:r>
              <w:rPr>
                <w:rFonts w:ascii="宋体" w:hAnsi="宋体" w:cs="宋体" w:eastAsia="宋体"/>
                <w:sz w:val="24"/>
              </w:rPr>
              <w:t>3.1.25 凸形扩展功能，可用于线阵、相控阵探头</w:t>
            </w:r>
          </w:p>
          <w:p>
            <w:pPr>
              <w:pStyle w:val="null3"/>
              <w:ind w:left="405"/>
            </w:pPr>
            <w:r>
              <w:rPr>
                <w:rFonts w:ascii="宋体" w:hAnsi="宋体" w:cs="宋体" w:eastAsia="宋体"/>
                <w:sz w:val="24"/>
              </w:rPr>
              <w:t>3.1.26 系统内置操作切面实时指导工具：可在屏幕上分屏显示各脏器标准扫查切面超声图与扫查手法图片、flash动画图并配以文字说明，可实时指导操作者找到标准切面并进行正确测量（提供证明材料，包括但不限于官网截图等）</w:t>
            </w:r>
          </w:p>
          <w:p>
            <w:pPr>
              <w:pStyle w:val="null3"/>
              <w:ind w:left="405"/>
            </w:pPr>
            <w:r>
              <w:rPr>
                <w:rFonts w:ascii="宋体" w:hAnsi="宋体" w:cs="宋体" w:eastAsia="宋体"/>
                <w:sz w:val="24"/>
              </w:rPr>
              <w:t>3.1.27 乳腺智能工具包：能自动描记病灶对组织结构进行测量，并备注病变结构特征，进行Bi-RADS分级；提供专门的乳腺报告设计</w:t>
            </w:r>
          </w:p>
          <w:p>
            <w:pPr>
              <w:pStyle w:val="null3"/>
              <w:ind w:left="405"/>
            </w:pPr>
            <w:r>
              <w:rPr>
                <w:rFonts w:ascii="宋体" w:hAnsi="宋体" w:cs="宋体" w:eastAsia="宋体"/>
                <w:sz w:val="24"/>
              </w:rPr>
              <w:t>3.1.28 智能随访工具包：可将前次扫描图像与当前实时扫描图像进行同屏对比，还原前次图像的扫查参数，前次的测量结果将作为比较参考（提供证明材料，包括但不限于官网截图等）</w:t>
            </w:r>
          </w:p>
          <w:p>
            <w:pPr>
              <w:pStyle w:val="null3"/>
              <w:ind w:left="405"/>
            </w:pPr>
            <w:r>
              <w:rPr>
                <w:rFonts w:ascii="宋体" w:hAnsi="宋体" w:cs="宋体" w:eastAsia="宋体"/>
                <w:sz w:val="24"/>
              </w:rPr>
              <w:t>▲</w:t>
            </w:r>
            <w:r>
              <w:rPr>
                <w:rFonts w:ascii="宋体" w:hAnsi="宋体" w:cs="宋体" w:eastAsia="宋体"/>
                <w:sz w:val="24"/>
              </w:rPr>
              <w:t>3.1.29 穿刺针增强显影技术：即使在彩色和能量多普勒的条件下，也可以精确显示针，解剖结构和组织运动，可以单独调整针增益和角度，具有穿刺引导延长线两档可调。可用于线阵和凸阵探头</w:t>
            </w:r>
          </w:p>
          <w:p>
            <w:pPr>
              <w:pStyle w:val="null3"/>
              <w:ind w:left="405"/>
            </w:pPr>
            <w:r>
              <w:rPr>
                <w:rFonts w:ascii="宋体" w:hAnsi="宋体" w:cs="宋体" w:eastAsia="宋体"/>
                <w:sz w:val="24"/>
              </w:rPr>
              <w:t xml:space="preserve">3.1.30 </w:t>
            </w:r>
            <w:r>
              <w:rPr>
                <w:rFonts w:ascii="宋体" w:hAnsi="宋体" w:cs="宋体" w:eastAsia="宋体"/>
                <w:sz w:val="24"/>
              </w:rPr>
              <w:t>语音备注：连接外接话筒，在图像上添加一段语音备注，与图像一起存储，支持调看图像时回放。</w:t>
            </w:r>
          </w:p>
          <w:p>
            <w:pPr>
              <w:pStyle w:val="null3"/>
              <w:ind w:left="405"/>
            </w:pPr>
            <w:r>
              <w:rPr>
                <w:rFonts w:ascii="宋体" w:hAnsi="宋体" w:cs="宋体" w:eastAsia="宋体"/>
                <w:sz w:val="24"/>
              </w:rPr>
              <w:t>3.2 技术参数及要求</w:t>
            </w:r>
          </w:p>
          <w:p>
            <w:pPr>
              <w:pStyle w:val="null3"/>
              <w:ind w:left="405"/>
            </w:pPr>
            <w:r>
              <w:rPr>
                <w:rFonts w:ascii="宋体" w:hAnsi="宋体" w:cs="宋体" w:eastAsia="宋体"/>
                <w:sz w:val="24"/>
              </w:rPr>
              <w:t>3.2.1 探头规格</w:t>
            </w:r>
          </w:p>
          <w:p>
            <w:pPr>
              <w:pStyle w:val="null3"/>
              <w:ind w:left="405"/>
            </w:pPr>
            <w:r>
              <w:rPr>
                <w:rFonts w:ascii="宋体" w:hAnsi="宋体" w:cs="宋体" w:eastAsia="宋体"/>
                <w:sz w:val="24"/>
              </w:rPr>
              <w:t>★</w:t>
            </w:r>
            <w:r>
              <w:rPr>
                <w:rFonts w:ascii="宋体" w:hAnsi="宋体" w:cs="宋体" w:eastAsia="宋体"/>
                <w:sz w:val="24"/>
              </w:rPr>
              <w:t>3.2.1.1 激活探头接口≥3个</w:t>
            </w:r>
          </w:p>
          <w:p>
            <w:pPr>
              <w:pStyle w:val="null3"/>
              <w:ind w:left="405"/>
            </w:pPr>
            <w:r>
              <w:rPr>
                <w:rFonts w:ascii="宋体" w:hAnsi="宋体" w:cs="宋体" w:eastAsia="宋体"/>
                <w:sz w:val="24"/>
              </w:rPr>
              <w:t>3.2.1.2 频率：宽频、变频探头，可视可调中心频率范围2-12 MHz</w:t>
            </w:r>
          </w:p>
          <w:p>
            <w:pPr>
              <w:pStyle w:val="null3"/>
              <w:ind w:left="405"/>
            </w:pPr>
            <w:r>
              <w:rPr>
                <w:rFonts w:ascii="宋体" w:hAnsi="宋体" w:cs="宋体" w:eastAsia="宋体"/>
                <w:sz w:val="24"/>
              </w:rPr>
              <w:t>3.2.1.3 频率自动调节功能：在彩色和其他多普勒模式下，随着取样位置深度的变化自动调节频率</w:t>
            </w:r>
          </w:p>
          <w:p>
            <w:pPr>
              <w:pStyle w:val="null3"/>
              <w:ind w:left="405"/>
            </w:pPr>
            <w:r>
              <w:rPr>
                <w:rFonts w:ascii="宋体" w:hAnsi="宋体" w:cs="宋体" w:eastAsia="宋体"/>
                <w:sz w:val="24"/>
              </w:rPr>
              <w:t>3.2.1.4 支持探头类型：支持凸阵、线阵、相控阵、微凸阵、容积腹部探头等</w:t>
            </w:r>
          </w:p>
          <w:p>
            <w:pPr>
              <w:pStyle w:val="null3"/>
              <w:ind w:left="405"/>
            </w:pPr>
            <w:r>
              <w:rPr>
                <w:rFonts w:ascii="宋体" w:hAnsi="宋体" w:cs="宋体" w:eastAsia="宋体"/>
                <w:sz w:val="24"/>
              </w:rPr>
              <w:t>3.2.1.5 穿刺导向：具有穿刺引导线</w:t>
            </w:r>
          </w:p>
          <w:p>
            <w:pPr>
              <w:pStyle w:val="null3"/>
              <w:ind w:left="405"/>
            </w:pPr>
            <w:r>
              <w:rPr>
                <w:rFonts w:ascii="宋体" w:hAnsi="宋体" w:cs="宋体" w:eastAsia="宋体"/>
                <w:sz w:val="24"/>
              </w:rPr>
              <w:t>3.2.1.6 扫描频率：</w:t>
            </w:r>
          </w:p>
          <w:p>
            <w:pPr>
              <w:pStyle w:val="null3"/>
              <w:ind w:left="405"/>
            </w:pPr>
            <w:r>
              <w:rPr>
                <w:rFonts w:ascii="宋体" w:hAnsi="宋体" w:cs="宋体" w:eastAsia="宋体"/>
                <w:sz w:val="24"/>
              </w:rPr>
              <w:t xml:space="preserve">       </w:t>
            </w:r>
            <w:r>
              <w:rPr>
                <w:rFonts w:ascii="宋体" w:hAnsi="宋体" w:cs="宋体" w:eastAsia="宋体"/>
                <w:sz w:val="24"/>
              </w:rPr>
              <w:t>电子凸阵：可视可调中心频率</w:t>
            </w:r>
            <w:r>
              <w:rPr>
                <w:rFonts w:ascii="宋体" w:hAnsi="宋体" w:cs="宋体" w:eastAsia="宋体"/>
                <w:sz w:val="24"/>
              </w:rPr>
              <w:t xml:space="preserve">2.0—5.0 MHz；       </w:t>
            </w:r>
          </w:p>
          <w:p>
            <w:pPr>
              <w:pStyle w:val="null3"/>
              <w:ind w:left="405"/>
            </w:pPr>
            <w:r>
              <w:rPr>
                <w:rFonts w:ascii="宋体" w:hAnsi="宋体" w:cs="宋体" w:eastAsia="宋体"/>
                <w:sz w:val="24"/>
              </w:rPr>
              <w:t xml:space="preserve">       </w:t>
            </w:r>
            <w:r>
              <w:rPr>
                <w:rFonts w:ascii="宋体" w:hAnsi="宋体" w:cs="宋体" w:eastAsia="宋体"/>
                <w:sz w:val="24"/>
              </w:rPr>
              <w:t>电子线阵：可视可调中心频率</w:t>
            </w:r>
            <w:r>
              <w:rPr>
                <w:rFonts w:ascii="宋体" w:hAnsi="宋体" w:cs="宋体" w:eastAsia="宋体"/>
                <w:sz w:val="24"/>
              </w:rPr>
              <w:t xml:space="preserve">6.0—12.0 MHz；       </w:t>
            </w:r>
          </w:p>
          <w:p>
            <w:pPr>
              <w:pStyle w:val="null3"/>
              <w:ind w:left="405"/>
            </w:pPr>
            <w:r>
              <w:rPr>
                <w:rFonts w:ascii="宋体" w:hAnsi="宋体" w:cs="宋体" w:eastAsia="宋体"/>
                <w:sz w:val="24"/>
              </w:rPr>
              <w:t xml:space="preserve">       </w:t>
            </w:r>
            <w:r>
              <w:rPr>
                <w:rFonts w:ascii="宋体" w:hAnsi="宋体" w:cs="宋体" w:eastAsia="宋体"/>
                <w:sz w:val="24"/>
              </w:rPr>
              <w:t>相控阵探头：可视可调中心频率</w:t>
            </w:r>
            <w:r>
              <w:rPr>
                <w:rFonts w:ascii="宋体" w:hAnsi="宋体" w:cs="宋体" w:eastAsia="宋体"/>
                <w:sz w:val="24"/>
              </w:rPr>
              <w:t>2—4.0 MHz；</w:t>
            </w:r>
          </w:p>
          <w:p>
            <w:pPr>
              <w:pStyle w:val="null3"/>
              <w:ind w:left="405"/>
            </w:pPr>
            <w:r>
              <w:rPr>
                <w:rFonts w:ascii="宋体" w:hAnsi="宋体" w:cs="宋体" w:eastAsia="宋体"/>
                <w:sz w:val="24"/>
              </w:rPr>
              <w:t>▲</w:t>
            </w:r>
            <w:r>
              <w:rPr>
                <w:rFonts w:ascii="宋体" w:hAnsi="宋体" w:cs="宋体" w:eastAsia="宋体"/>
                <w:sz w:val="24"/>
              </w:rPr>
              <w:t>3.2.1.7 相控阵探头扫描角度≥110°</w:t>
            </w:r>
          </w:p>
          <w:p>
            <w:pPr>
              <w:pStyle w:val="null3"/>
              <w:ind w:left="405"/>
            </w:pPr>
            <w:r>
              <w:rPr>
                <w:rFonts w:ascii="宋体" w:hAnsi="宋体" w:cs="宋体" w:eastAsia="宋体"/>
                <w:sz w:val="24"/>
              </w:rPr>
              <w:t>3.2.2 B型成像主要参数</w:t>
            </w:r>
          </w:p>
          <w:p>
            <w:pPr>
              <w:pStyle w:val="null3"/>
              <w:ind w:left="405"/>
            </w:pPr>
            <w:r>
              <w:rPr>
                <w:rFonts w:ascii="宋体" w:hAnsi="宋体" w:cs="宋体" w:eastAsia="宋体"/>
                <w:sz w:val="24"/>
              </w:rPr>
              <w:t>3.2.2.1 ≥256灰阶</w:t>
            </w:r>
          </w:p>
          <w:p>
            <w:pPr>
              <w:pStyle w:val="null3"/>
              <w:ind w:left="405"/>
            </w:pPr>
            <w:r>
              <w:rPr>
                <w:rFonts w:ascii="宋体" w:hAnsi="宋体" w:cs="宋体" w:eastAsia="宋体"/>
                <w:sz w:val="24"/>
              </w:rPr>
              <w:t>3.2.2.2 发射声束聚焦：≥8段</w:t>
            </w:r>
          </w:p>
          <w:p>
            <w:pPr>
              <w:pStyle w:val="null3"/>
              <w:ind w:left="405"/>
            </w:pPr>
            <w:r>
              <w:rPr>
                <w:rFonts w:ascii="宋体" w:hAnsi="宋体" w:cs="宋体" w:eastAsia="宋体"/>
                <w:sz w:val="24"/>
              </w:rPr>
              <w:t>3.2.2.3 回放重现：灰阶图像回放≥400000帧、回放时间≥900秒</w:t>
            </w:r>
          </w:p>
          <w:p>
            <w:pPr>
              <w:pStyle w:val="null3"/>
              <w:ind w:left="405"/>
            </w:pPr>
            <w:r>
              <w:rPr>
                <w:rFonts w:ascii="宋体" w:hAnsi="宋体" w:cs="宋体" w:eastAsia="宋体"/>
                <w:sz w:val="24"/>
              </w:rPr>
              <w:t>3.2.2.4 预设条件：针对不同的检查脏器，预置最佳化图像的检查条件≥30种，减少常用所需的外部调节及组合调节</w:t>
            </w:r>
          </w:p>
          <w:p>
            <w:pPr>
              <w:pStyle w:val="null3"/>
              <w:ind w:left="405"/>
            </w:pPr>
            <w:r>
              <w:rPr>
                <w:rFonts w:ascii="宋体" w:hAnsi="宋体" w:cs="宋体" w:eastAsia="宋体"/>
                <w:sz w:val="24"/>
              </w:rPr>
              <w:t>3.2.2.5 增益调节：B/M/CF/D可独立调节，TGC调节≥6段</w:t>
            </w:r>
          </w:p>
          <w:p>
            <w:pPr>
              <w:pStyle w:val="null3"/>
              <w:ind w:left="405"/>
            </w:pPr>
            <w:r>
              <w:rPr>
                <w:rFonts w:ascii="宋体" w:hAnsi="宋体" w:cs="宋体" w:eastAsia="宋体"/>
                <w:sz w:val="24"/>
              </w:rPr>
              <w:t>3.2.2.6 LGC调节≥8段</w:t>
            </w:r>
          </w:p>
          <w:p>
            <w:pPr>
              <w:pStyle w:val="null3"/>
              <w:ind w:left="405"/>
            </w:pPr>
            <w:r>
              <w:rPr>
                <w:rFonts w:ascii="宋体" w:hAnsi="宋体" w:cs="宋体" w:eastAsia="宋体"/>
                <w:sz w:val="24"/>
              </w:rPr>
              <w:t>3.2.2.7 超声系统最大探查深度≥32 cm</w:t>
            </w:r>
          </w:p>
          <w:p>
            <w:pPr>
              <w:pStyle w:val="null3"/>
              <w:ind w:left="405"/>
            </w:pPr>
            <w:r>
              <w:rPr>
                <w:rFonts w:ascii="宋体" w:hAnsi="宋体" w:cs="宋体" w:eastAsia="宋体"/>
                <w:sz w:val="24"/>
              </w:rPr>
              <w:t>3.2.2.8 系统动态范围≥265 dB；</w:t>
            </w:r>
          </w:p>
          <w:p>
            <w:pPr>
              <w:pStyle w:val="null3"/>
              <w:ind w:left="405"/>
            </w:pPr>
            <w:r>
              <w:rPr>
                <w:rFonts w:ascii="宋体" w:hAnsi="宋体" w:cs="宋体" w:eastAsia="宋体"/>
                <w:sz w:val="24"/>
              </w:rPr>
              <w:t>3.2.2.9 凸阵探头最大视角，18 cm深度时，帧频≥50帧；</w:t>
            </w:r>
          </w:p>
          <w:p>
            <w:pPr>
              <w:pStyle w:val="null3"/>
              <w:ind w:left="405"/>
            </w:pPr>
            <w:r>
              <w:rPr>
                <w:rFonts w:ascii="宋体" w:hAnsi="宋体" w:cs="宋体" w:eastAsia="宋体"/>
                <w:sz w:val="24"/>
              </w:rPr>
              <w:t>相控阵探头</w:t>
            </w:r>
            <w:r>
              <w:rPr>
                <w:rFonts w:ascii="宋体" w:hAnsi="宋体" w:cs="宋体" w:eastAsia="宋体"/>
                <w:sz w:val="24"/>
              </w:rPr>
              <w:t>90°视角，18 cm深度时，帧频≥81帧</w:t>
            </w:r>
          </w:p>
          <w:p>
            <w:pPr>
              <w:pStyle w:val="null3"/>
              <w:ind w:left="405"/>
            </w:pPr>
            <w:r>
              <w:rPr>
                <w:rFonts w:ascii="宋体" w:hAnsi="宋体" w:cs="宋体" w:eastAsia="宋体"/>
                <w:sz w:val="24"/>
              </w:rPr>
              <w:t>3.2.3   频谱多普勒</w:t>
            </w:r>
          </w:p>
          <w:p>
            <w:pPr>
              <w:pStyle w:val="null3"/>
              <w:ind w:left="405"/>
            </w:pPr>
            <w:r>
              <w:rPr>
                <w:rFonts w:ascii="宋体" w:hAnsi="宋体" w:cs="宋体" w:eastAsia="宋体"/>
                <w:sz w:val="24"/>
              </w:rPr>
              <w:t>3.2.3.1 方式：脉冲波多普勒PWD；高脉冲重复频率HPRF；连续波多普勒CWD</w:t>
            </w:r>
          </w:p>
          <w:p>
            <w:pPr>
              <w:pStyle w:val="null3"/>
              <w:ind w:left="405"/>
            </w:pPr>
            <w:r>
              <w:rPr>
                <w:rFonts w:ascii="宋体" w:hAnsi="宋体" w:cs="宋体" w:eastAsia="宋体"/>
                <w:sz w:val="24"/>
              </w:rPr>
              <w:t>3.2.3.2 多普勒发射频率可视可调</w:t>
            </w:r>
          </w:p>
          <w:p>
            <w:pPr>
              <w:pStyle w:val="null3"/>
              <w:ind w:left="405"/>
            </w:pPr>
            <w:r>
              <w:rPr>
                <w:rFonts w:ascii="宋体" w:hAnsi="宋体" w:cs="宋体" w:eastAsia="宋体"/>
                <w:sz w:val="24"/>
              </w:rPr>
              <w:t>3.2.3.3 最大测量速度：PWD：≥20m/s ；CWD: ≥40m/s；</w:t>
            </w:r>
          </w:p>
          <w:p>
            <w:pPr>
              <w:pStyle w:val="null3"/>
              <w:ind w:left="405"/>
            </w:pPr>
            <w:r>
              <w:rPr>
                <w:rFonts w:ascii="宋体" w:hAnsi="宋体" w:cs="宋体" w:eastAsia="宋体"/>
                <w:sz w:val="24"/>
              </w:rPr>
              <w:t xml:space="preserve">       </w:t>
            </w:r>
            <w:r>
              <w:rPr>
                <w:rFonts w:ascii="宋体" w:hAnsi="宋体" w:cs="宋体" w:eastAsia="宋体"/>
                <w:sz w:val="24"/>
              </w:rPr>
              <w:t>最小测量速度：</w:t>
            </w:r>
            <w:r>
              <w:rPr>
                <w:rFonts w:ascii="宋体" w:hAnsi="宋体" w:cs="宋体" w:eastAsia="宋体"/>
                <w:sz w:val="24"/>
              </w:rPr>
              <w:t>≤1mm/s</w:t>
            </w:r>
          </w:p>
          <w:p>
            <w:pPr>
              <w:pStyle w:val="null3"/>
              <w:ind w:left="405"/>
            </w:pPr>
            <w:r>
              <w:rPr>
                <w:rFonts w:ascii="宋体" w:hAnsi="宋体" w:cs="宋体" w:eastAsia="宋体"/>
                <w:sz w:val="24"/>
              </w:rPr>
              <w:t>▲</w:t>
            </w:r>
            <w:r>
              <w:rPr>
                <w:rFonts w:ascii="宋体" w:hAnsi="宋体" w:cs="宋体" w:eastAsia="宋体"/>
                <w:sz w:val="24"/>
              </w:rPr>
              <w:t>3.2.3.4 多普勒取样容积距离体表的深度可在屏幕上实时显示</w:t>
            </w:r>
          </w:p>
          <w:p>
            <w:pPr>
              <w:pStyle w:val="null3"/>
              <w:ind w:left="405"/>
            </w:pPr>
            <w:r>
              <w:rPr>
                <w:rFonts w:ascii="宋体" w:hAnsi="宋体" w:cs="宋体" w:eastAsia="宋体"/>
                <w:sz w:val="24"/>
              </w:rPr>
              <w:t>3.2.3.5 PW取样容积宽度2-16mm</w:t>
            </w:r>
          </w:p>
          <w:p>
            <w:pPr>
              <w:pStyle w:val="null3"/>
              <w:ind w:left="405"/>
            </w:pPr>
            <w:r>
              <w:rPr>
                <w:rFonts w:ascii="宋体" w:hAnsi="宋体" w:cs="宋体" w:eastAsia="宋体"/>
                <w:sz w:val="24"/>
              </w:rPr>
              <w:t>3.2.4   彩色多普勒</w:t>
            </w:r>
          </w:p>
          <w:p>
            <w:pPr>
              <w:pStyle w:val="null3"/>
              <w:ind w:left="405"/>
            </w:pPr>
            <w:r>
              <w:rPr>
                <w:rFonts w:ascii="宋体" w:hAnsi="宋体" w:cs="宋体" w:eastAsia="宋体"/>
                <w:sz w:val="24"/>
              </w:rPr>
              <w:t>3.2.4.1 显示方式：速度分散显示、能量显示、速度显示、方差显示</w:t>
            </w:r>
          </w:p>
          <w:p>
            <w:pPr>
              <w:pStyle w:val="null3"/>
              <w:ind w:left="405"/>
            </w:pPr>
            <w:r>
              <w:rPr>
                <w:rFonts w:ascii="宋体" w:hAnsi="宋体" w:cs="宋体" w:eastAsia="宋体"/>
                <w:sz w:val="24"/>
              </w:rPr>
              <w:t>3.2.4.2 彩色多普勒频率可视可调</w:t>
            </w:r>
          </w:p>
          <w:p>
            <w:pPr>
              <w:pStyle w:val="null3"/>
              <w:ind w:left="405"/>
            </w:pPr>
            <w:r>
              <w:rPr>
                <w:rFonts w:ascii="宋体" w:hAnsi="宋体" w:cs="宋体" w:eastAsia="宋体"/>
                <w:sz w:val="24"/>
              </w:rPr>
              <w:t>3.2.4.3 双幅实时显示、包括双幅不同模式实时显示（B/B；B/CFM）</w:t>
            </w:r>
          </w:p>
          <w:p>
            <w:pPr>
              <w:pStyle w:val="null3"/>
              <w:ind w:left="405"/>
            </w:pPr>
            <w:r>
              <w:rPr>
                <w:rFonts w:ascii="宋体" w:hAnsi="宋体" w:cs="宋体" w:eastAsia="宋体"/>
                <w:sz w:val="24"/>
              </w:rPr>
              <w:t>3.2.4.4 凸阵探头最大视角，最大取样框，18cm深度时，彩色帧频≥7帧；</w:t>
            </w:r>
          </w:p>
          <w:p>
            <w:pPr>
              <w:pStyle w:val="null3"/>
              <w:ind w:left="405"/>
            </w:pPr>
            <w:r>
              <w:rPr>
                <w:rFonts w:ascii="宋体" w:hAnsi="宋体" w:cs="宋体" w:eastAsia="宋体"/>
                <w:sz w:val="24"/>
              </w:rPr>
              <w:t xml:space="preserve"> </w:t>
            </w:r>
            <w:r>
              <w:rPr>
                <w:rFonts w:ascii="宋体" w:hAnsi="宋体" w:cs="宋体" w:eastAsia="宋体"/>
                <w:sz w:val="24"/>
              </w:rPr>
              <w:t>相控阵探头</w:t>
            </w:r>
            <w:r>
              <w:rPr>
                <w:rFonts w:ascii="宋体" w:hAnsi="宋体" w:cs="宋体" w:eastAsia="宋体"/>
                <w:sz w:val="24"/>
              </w:rPr>
              <w:t>90°视角, 最大取样框，18cm深度时，彩色帧频≥12帧；</w:t>
            </w:r>
          </w:p>
          <w:p>
            <w:pPr>
              <w:pStyle w:val="null3"/>
              <w:ind w:left="405"/>
            </w:pPr>
            <w:r>
              <w:rPr>
                <w:rFonts w:ascii="宋体" w:hAnsi="宋体" w:cs="宋体" w:eastAsia="宋体"/>
                <w:sz w:val="24"/>
              </w:rPr>
              <w:t>3.3 测量和分析：(B型、M型、频谱多普勒、彩色模式)</w:t>
            </w:r>
          </w:p>
          <w:p>
            <w:pPr>
              <w:pStyle w:val="null3"/>
              <w:ind w:left="405"/>
            </w:pPr>
            <w:r>
              <w:rPr>
                <w:rFonts w:ascii="宋体" w:hAnsi="宋体" w:cs="宋体" w:eastAsia="宋体"/>
                <w:sz w:val="24"/>
              </w:rPr>
              <w:t>3.3.1 一般测量</w:t>
            </w:r>
          </w:p>
          <w:p>
            <w:pPr>
              <w:pStyle w:val="null3"/>
              <w:ind w:left="405"/>
            </w:pPr>
            <w:r>
              <w:rPr>
                <w:rFonts w:ascii="宋体" w:hAnsi="宋体" w:cs="宋体" w:eastAsia="宋体"/>
                <w:sz w:val="24"/>
              </w:rPr>
              <w:t>3.3.2 妇产科测量</w:t>
            </w:r>
          </w:p>
          <w:p>
            <w:pPr>
              <w:pStyle w:val="null3"/>
              <w:ind w:left="405"/>
            </w:pPr>
            <w:r>
              <w:rPr>
                <w:rFonts w:ascii="宋体" w:hAnsi="宋体" w:cs="宋体" w:eastAsia="宋体"/>
                <w:sz w:val="24"/>
              </w:rPr>
              <w:t>3.3.3 心功能测量与分析</w:t>
            </w:r>
          </w:p>
          <w:p>
            <w:pPr>
              <w:pStyle w:val="null3"/>
              <w:ind w:left="405"/>
            </w:pPr>
            <w:r>
              <w:rPr>
                <w:rFonts w:ascii="宋体" w:hAnsi="宋体" w:cs="宋体" w:eastAsia="宋体"/>
                <w:sz w:val="24"/>
              </w:rPr>
              <w:t>3.3.4 多普勒血流测量与计算</w:t>
            </w:r>
          </w:p>
          <w:p>
            <w:pPr>
              <w:pStyle w:val="null3"/>
              <w:ind w:left="405"/>
            </w:pPr>
            <w:r>
              <w:rPr>
                <w:rFonts w:ascii="宋体" w:hAnsi="宋体" w:cs="宋体" w:eastAsia="宋体"/>
                <w:sz w:val="24"/>
              </w:rPr>
              <w:t>3.3.5 频谱多普勒自动包络测量和计算，可自动测量和计算≥12个参数（提供证明材料，包括但不限于官网截图等）</w:t>
            </w:r>
          </w:p>
          <w:p>
            <w:pPr>
              <w:pStyle w:val="null3"/>
              <w:ind w:left="405"/>
            </w:pPr>
            <w:r>
              <w:rPr>
                <w:rFonts w:ascii="宋体" w:hAnsi="宋体" w:cs="宋体" w:eastAsia="宋体"/>
                <w:sz w:val="24"/>
              </w:rPr>
              <w:t>3.3.6 泌尿科测量与分析</w:t>
            </w:r>
          </w:p>
          <w:p>
            <w:pPr>
              <w:pStyle w:val="null3"/>
              <w:ind w:left="405"/>
            </w:pPr>
            <w:r>
              <w:rPr>
                <w:rFonts w:ascii="宋体" w:hAnsi="宋体" w:cs="宋体" w:eastAsia="宋体"/>
                <w:sz w:val="24"/>
              </w:rPr>
              <w:t>3.4 电影回放重现及病案管理单元</w:t>
            </w:r>
          </w:p>
          <w:p>
            <w:pPr>
              <w:pStyle w:val="null3"/>
              <w:ind w:left="405"/>
            </w:pPr>
            <w:r>
              <w:rPr>
                <w:rFonts w:ascii="宋体" w:hAnsi="宋体" w:cs="宋体" w:eastAsia="宋体"/>
                <w:sz w:val="24"/>
              </w:rPr>
              <w:t>3.4.1 同屏一体化智能剪贴板, 可以实时同屏存储和回放动态及静态图像，将存储的图像显示在屏幕上实时图像的下方，随时调阅、删除、导出图像</w:t>
            </w:r>
          </w:p>
          <w:p>
            <w:pPr>
              <w:pStyle w:val="null3"/>
              <w:ind w:left="405"/>
            </w:pPr>
            <w:r>
              <w:rPr>
                <w:rFonts w:ascii="宋体" w:hAnsi="宋体" w:cs="宋体" w:eastAsia="宋体"/>
                <w:sz w:val="24"/>
              </w:rPr>
              <w:t>3.4.2 原始数据处理，可对回放的图像进行≥30种参数调节</w:t>
            </w:r>
          </w:p>
          <w:p>
            <w:pPr>
              <w:pStyle w:val="null3"/>
              <w:ind w:left="405"/>
            </w:pPr>
            <w:r>
              <w:rPr>
                <w:rFonts w:ascii="宋体" w:hAnsi="宋体" w:cs="宋体" w:eastAsia="宋体"/>
                <w:sz w:val="24"/>
              </w:rPr>
              <w:t>3.4.3 USB一键快速存储：只需一个按键一步操作即可把屏幕上的图像传输至U盘或移动硬盘中</w:t>
            </w:r>
          </w:p>
          <w:p>
            <w:pPr>
              <w:pStyle w:val="null3"/>
              <w:ind w:left="405"/>
            </w:pPr>
            <w:r>
              <w:rPr>
                <w:rFonts w:ascii="宋体" w:hAnsi="宋体" w:cs="宋体" w:eastAsia="宋体"/>
                <w:sz w:val="24"/>
              </w:rPr>
              <w:t>3.4.4 内置硬盘≥256GB SSD</w:t>
            </w:r>
          </w:p>
          <w:p>
            <w:pPr>
              <w:pStyle w:val="null3"/>
              <w:ind w:left="405"/>
            </w:pPr>
            <w:r>
              <w:rPr>
                <w:rFonts w:ascii="宋体" w:hAnsi="宋体" w:cs="宋体" w:eastAsia="宋体"/>
                <w:sz w:val="24"/>
              </w:rPr>
              <w:t>3.5 输入、输出信号</w:t>
            </w:r>
          </w:p>
          <w:p>
            <w:pPr>
              <w:pStyle w:val="null3"/>
              <w:ind w:left="405"/>
            </w:pPr>
            <w:r>
              <w:rPr>
                <w:rFonts w:ascii="宋体" w:hAnsi="宋体" w:cs="宋体" w:eastAsia="宋体"/>
                <w:sz w:val="24"/>
              </w:rPr>
              <w:t>3.5.1 输入、输出接口：S-Video、USB、HDMI等</w:t>
            </w:r>
          </w:p>
          <w:p>
            <w:pPr>
              <w:pStyle w:val="null3"/>
              <w:ind w:left="405"/>
            </w:pPr>
            <w:r>
              <w:rPr>
                <w:rFonts w:ascii="宋体" w:hAnsi="宋体" w:cs="宋体" w:eastAsia="宋体"/>
                <w:sz w:val="24"/>
              </w:rPr>
              <w:t>3.5.2 DICOM3.0接口部件</w:t>
            </w:r>
          </w:p>
          <w:p>
            <w:pPr>
              <w:pStyle w:val="null3"/>
              <w:ind w:left="405"/>
            </w:pPr>
            <w:r>
              <w:rPr>
                <w:rFonts w:ascii="宋体" w:hAnsi="宋体" w:cs="宋体" w:eastAsia="宋体"/>
                <w:sz w:val="24"/>
                <w:b/>
              </w:rPr>
              <w:t>（四）培训及技术服务（提供包含以下售后内容的证明材料）</w:t>
            </w:r>
          </w:p>
          <w:p>
            <w:pPr>
              <w:pStyle w:val="null3"/>
              <w:ind w:left="405"/>
            </w:pPr>
            <w:r>
              <w:rPr>
                <w:rFonts w:ascii="宋体" w:hAnsi="宋体" w:cs="宋体" w:eastAsia="宋体"/>
                <w:sz w:val="24"/>
              </w:rPr>
              <w:t>4.1 原厂商针对本项目提供售后培训的证明材料，以及现场技术培训，保证使用人员临床和设备正常操作设备的各种功能。</w:t>
            </w:r>
          </w:p>
          <w:p>
            <w:pPr>
              <w:pStyle w:val="null3"/>
              <w:ind w:left="405"/>
            </w:pPr>
            <w:r>
              <w:rPr>
                <w:rFonts w:ascii="宋体" w:hAnsi="宋体" w:cs="宋体" w:eastAsia="宋体"/>
                <w:sz w:val="24"/>
              </w:rPr>
              <w:t>4.2 远程应用支持：</w:t>
            </w:r>
          </w:p>
          <w:p>
            <w:pPr>
              <w:pStyle w:val="null3"/>
              <w:ind w:left="405"/>
            </w:pPr>
            <w:r>
              <w:rPr>
                <w:rFonts w:ascii="宋体" w:hAnsi="宋体" w:cs="宋体" w:eastAsia="宋体"/>
                <w:sz w:val="24"/>
              </w:rPr>
              <w:t>投标产品生产厂家有远程应用支持中心，可与用户之间建立语音、视频联系，</w:t>
            </w:r>
            <w:r>
              <w:rPr>
                <w:rFonts w:ascii="宋体" w:hAnsi="宋体" w:cs="宋体" w:eastAsia="宋体"/>
                <w:sz w:val="24"/>
              </w:rPr>
              <w:t>线上</w:t>
            </w:r>
            <w:r>
              <w:rPr>
                <w:rFonts w:ascii="宋体" w:hAnsi="宋体" w:cs="宋体" w:eastAsia="宋体"/>
                <w:sz w:val="24"/>
              </w:rPr>
              <w:t>24小时解决故障，如不能解决则进行现场解决，线下2小时响应。</w:t>
            </w:r>
          </w:p>
          <w:p>
            <w:pPr>
              <w:pStyle w:val="null3"/>
              <w:ind w:left="405"/>
            </w:pPr>
            <w:r>
              <w:rPr>
                <w:rFonts w:ascii="宋体" w:hAnsi="宋体" w:cs="宋体" w:eastAsia="宋体"/>
                <w:sz w:val="24"/>
              </w:rPr>
              <w:t>4.3 原厂超声售后工程师人数≥40人</w:t>
            </w:r>
            <w:r>
              <w:rPr>
                <w:rFonts w:ascii="宋体" w:hAnsi="宋体" w:cs="宋体" w:eastAsia="宋体"/>
                <w:sz w:val="24"/>
              </w:rPr>
              <w:t>，提供工程师名单及开标前半年内社保缴纳证明。</w:t>
            </w:r>
          </w:p>
          <w:p>
            <w:pPr>
              <w:pStyle w:val="null3"/>
              <w:ind w:left="405"/>
            </w:pPr>
            <w:r>
              <w:rPr>
                <w:rFonts w:ascii="宋体" w:hAnsi="宋体" w:cs="宋体" w:eastAsia="宋体"/>
                <w:sz w:val="24"/>
                <w:b/>
              </w:rPr>
              <w:t>（五）备件、专用工具、资料及其它</w:t>
            </w:r>
          </w:p>
          <w:p>
            <w:pPr>
              <w:pStyle w:val="null3"/>
              <w:ind w:left="405"/>
            </w:pPr>
            <w:r>
              <w:rPr>
                <w:rFonts w:ascii="宋体" w:hAnsi="宋体" w:cs="宋体" w:eastAsia="宋体"/>
                <w:sz w:val="24"/>
              </w:rPr>
              <w:t>5.1 为保证设备正常运行，原厂商应设置备件库，存入必须的备件，并保证10年以上的供应期。</w:t>
            </w:r>
          </w:p>
          <w:p>
            <w:pPr>
              <w:pStyle w:val="null3"/>
              <w:ind w:left="405"/>
            </w:pPr>
            <w:r>
              <w:rPr>
                <w:rFonts w:ascii="宋体" w:hAnsi="宋体" w:cs="宋体" w:eastAsia="宋体"/>
                <w:sz w:val="24"/>
              </w:rPr>
              <w:t>5.2 如有专用工具，供应商应向采购人提供设备维护的专用工具。</w:t>
            </w:r>
          </w:p>
          <w:p>
            <w:pPr>
              <w:pStyle w:val="null3"/>
              <w:ind w:left="405"/>
            </w:pPr>
            <w:r>
              <w:rPr>
                <w:rFonts w:ascii="宋体" w:hAnsi="宋体" w:cs="宋体" w:eastAsia="宋体"/>
                <w:sz w:val="24"/>
              </w:rPr>
              <w:t>5.3 供应商须向采购人提供操作手册一套。</w:t>
            </w:r>
          </w:p>
          <w:p>
            <w:pPr>
              <w:pStyle w:val="null3"/>
              <w:ind w:left="405"/>
            </w:pPr>
            <w:r>
              <w:rPr>
                <w:rFonts w:ascii="宋体" w:hAnsi="宋体" w:cs="宋体" w:eastAsia="宋体"/>
                <w:sz w:val="24"/>
              </w:rPr>
              <w:t>5.4 供应商须向采购人提供设备的运行、安装、使用环境要求。</w:t>
            </w:r>
          </w:p>
          <w:p>
            <w:pPr>
              <w:pStyle w:val="null3"/>
              <w:ind w:left="405"/>
            </w:pPr>
            <w:r>
              <w:rPr>
                <w:rFonts w:ascii="宋体" w:hAnsi="宋体" w:cs="宋体" w:eastAsia="宋体"/>
                <w:sz w:val="24"/>
              </w:rPr>
              <w:t>5.5 在货物到达使用单位后，供应商应在7天内派工程技术人员到达现场，在采购人技术人员在场的情况下开箱清点货物，组织安装、调试，供应商承担因此发生的一切费用。</w:t>
            </w:r>
          </w:p>
          <w:p>
            <w:pPr>
              <w:pStyle w:val="null3"/>
              <w:ind w:left="405"/>
            </w:pPr>
            <w:r>
              <w:rPr>
                <w:rFonts w:ascii="宋体" w:hAnsi="宋体" w:cs="宋体" w:eastAsia="宋体"/>
                <w:sz w:val="24"/>
              </w:rPr>
              <w:t>5.6 有相应的维修能力。</w:t>
            </w:r>
          </w:p>
          <w:p>
            <w:pPr>
              <w:pStyle w:val="null3"/>
              <w:jc w:val="center"/>
            </w:pPr>
            <w:r>
              <w:rPr>
                <w:rFonts w:ascii="宋体" w:hAnsi="宋体" w:cs="宋体" w:eastAsia="宋体"/>
                <w:sz w:val="24"/>
                <w:b/>
              </w:rPr>
              <w:t>体外冲击波治疗仪参数</w:t>
            </w:r>
          </w:p>
          <w:p>
            <w:pPr>
              <w:pStyle w:val="null3"/>
              <w:jc w:val="left"/>
            </w:pPr>
            <w:r>
              <w:rPr>
                <w:rFonts w:ascii="宋体" w:hAnsi="宋体" w:cs="宋体" w:eastAsia="宋体"/>
                <w:sz w:val="24"/>
                <w:b/>
              </w:rPr>
              <w:t>（</w:t>
            </w:r>
            <w:r>
              <w:rPr>
                <w:rFonts w:ascii="宋体" w:hAnsi="宋体" w:cs="宋体" w:eastAsia="宋体"/>
                <w:sz w:val="24"/>
                <w:b/>
              </w:rPr>
              <w:t>一</w:t>
            </w:r>
            <w:r>
              <w:rPr>
                <w:rFonts w:ascii="宋体" w:hAnsi="宋体" w:cs="宋体" w:eastAsia="宋体"/>
                <w:sz w:val="24"/>
                <w:b/>
              </w:rPr>
              <w:t>）</w:t>
            </w:r>
            <w:r>
              <w:rPr>
                <w:rFonts w:ascii="宋体" w:hAnsi="宋体" w:cs="宋体" w:eastAsia="宋体"/>
                <w:sz w:val="24"/>
                <w:b/>
              </w:rPr>
              <w:t>适应症</w:t>
            </w:r>
            <w:r>
              <w:rPr>
                <w:rFonts w:ascii="宋体" w:hAnsi="宋体" w:cs="宋体" w:eastAsia="宋体"/>
                <w:sz w:val="24"/>
                <w:b/>
              </w:rPr>
              <w:t>：</w:t>
            </w:r>
            <w:r>
              <w:rPr>
                <w:rFonts w:ascii="宋体" w:hAnsi="宋体" w:cs="宋体" w:eastAsia="宋体"/>
                <w:sz w:val="24"/>
              </w:rPr>
              <w:t>产品适用于在专业医生指导下用于肩周炎、网球肘软组织劳损性疼痛疾病的辅助治疗</w:t>
            </w:r>
            <w:r>
              <w:rPr>
                <w:rFonts w:ascii="宋体" w:hAnsi="宋体" w:cs="宋体" w:eastAsia="宋体"/>
                <w:sz w:val="24"/>
              </w:rPr>
              <w:t>，</w:t>
            </w:r>
            <w:r>
              <w:rPr>
                <w:rFonts w:ascii="宋体" w:hAnsi="宋体" w:cs="宋体" w:eastAsia="宋体"/>
                <w:sz w:val="24"/>
              </w:rPr>
              <w:t>数量</w:t>
            </w:r>
            <w:r>
              <w:rPr>
                <w:rFonts w:ascii="宋体" w:hAnsi="宋体" w:cs="宋体" w:eastAsia="宋体"/>
                <w:sz w:val="24"/>
              </w:rPr>
              <w:t>1套</w:t>
            </w:r>
            <w:r>
              <w:rPr>
                <w:rFonts w:ascii="宋体" w:hAnsi="宋体" w:cs="宋体" w:eastAsia="宋体"/>
                <w:sz w:val="24"/>
              </w:rPr>
              <w:t>。</w:t>
            </w:r>
          </w:p>
          <w:p>
            <w:pPr>
              <w:pStyle w:val="null3"/>
              <w:jc w:val="left"/>
            </w:pPr>
            <w:r>
              <w:rPr>
                <w:rFonts w:ascii="宋体" w:hAnsi="宋体" w:cs="宋体" w:eastAsia="宋体"/>
                <w:sz w:val="24"/>
                <w:b/>
              </w:rPr>
              <w:t>（二）</w:t>
            </w:r>
            <w:r>
              <w:rPr>
                <w:rFonts w:ascii="宋体" w:hAnsi="宋体" w:cs="宋体" w:eastAsia="宋体"/>
                <w:sz w:val="24"/>
                <w:b/>
              </w:rPr>
              <w:t>主要</w:t>
            </w:r>
            <w:r>
              <w:rPr>
                <w:rFonts w:ascii="宋体" w:hAnsi="宋体" w:cs="宋体" w:eastAsia="宋体"/>
                <w:sz w:val="24"/>
                <w:b/>
              </w:rPr>
              <w:t>技术指标</w:t>
            </w:r>
          </w:p>
          <w:p>
            <w:pPr>
              <w:pStyle w:val="null3"/>
              <w:jc w:val="left"/>
            </w:pPr>
            <w:r>
              <w:rPr>
                <w:rFonts w:ascii="宋体" w:hAnsi="宋体" w:cs="宋体" w:eastAsia="宋体"/>
                <w:sz w:val="24"/>
              </w:rPr>
              <w:t>1、输出压力调节范围：</w:t>
            </w:r>
            <w:r>
              <w:rPr>
                <w:rFonts w:ascii="宋体" w:hAnsi="宋体" w:cs="宋体" w:eastAsia="宋体"/>
                <w:sz w:val="24"/>
              </w:rPr>
              <w:t>1-5bar，步长0.1bar</w:t>
            </w:r>
            <w:r>
              <w:rPr>
                <w:rFonts w:ascii="宋体" w:hAnsi="宋体" w:cs="宋体" w:eastAsia="宋体"/>
                <w:sz w:val="24"/>
              </w:rPr>
              <w:t>；</w:t>
            </w:r>
          </w:p>
          <w:p>
            <w:pPr>
              <w:pStyle w:val="null3"/>
              <w:jc w:val="left"/>
            </w:pPr>
            <w:r>
              <w:rPr>
                <w:rFonts w:ascii="宋体" w:hAnsi="宋体" w:cs="宋体" w:eastAsia="宋体"/>
                <w:sz w:val="24"/>
              </w:rPr>
              <w:t>2、频率：</w:t>
            </w:r>
            <w:r>
              <w:rPr>
                <w:rFonts w:ascii="宋体" w:hAnsi="宋体" w:cs="宋体" w:eastAsia="宋体"/>
                <w:sz w:val="24"/>
              </w:rPr>
              <w:t>1-25Hz可调，步长1Hz</w:t>
            </w:r>
            <w:r>
              <w:rPr>
                <w:rFonts w:ascii="宋体" w:hAnsi="宋体" w:cs="宋体" w:eastAsia="宋体"/>
                <w:sz w:val="24"/>
              </w:rPr>
              <w:t>；</w:t>
            </w:r>
          </w:p>
          <w:p>
            <w:pPr>
              <w:pStyle w:val="null3"/>
              <w:jc w:val="left"/>
            </w:pPr>
            <w:r>
              <w:rPr>
                <w:rFonts w:ascii="宋体" w:hAnsi="宋体" w:cs="宋体" w:eastAsia="宋体"/>
                <w:sz w:val="24"/>
              </w:rPr>
              <w:t>3、工作次数：</w:t>
            </w:r>
            <w:r>
              <w:rPr>
                <w:rFonts w:ascii="宋体" w:hAnsi="宋体" w:cs="宋体" w:eastAsia="宋体"/>
                <w:sz w:val="24"/>
              </w:rPr>
              <w:t>0-10000次可调，步长500次</w:t>
            </w:r>
            <w:r>
              <w:rPr>
                <w:rFonts w:ascii="宋体" w:hAnsi="宋体" w:cs="宋体" w:eastAsia="宋体"/>
                <w:sz w:val="24"/>
              </w:rPr>
              <w:t>；</w:t>
            </w:r>
          </w:p>
          <w:p>
            <w:pPr>
              <w:pStyle w:val="null3"/>
              <w:jc w:val="left"/>
            </w:pPr>
            <w:r>
              <w:rPr>
                <w:rFonts w:ascii="宋体" w:hAnsi="宋体" w:cs="宋体" w:eastAsia="宋体"/>
                <w:sz w:val="24"/>
              </w:rPr>
              <w:t>4、治疗能量：压力波能量</w:t>
            </w:r>
            <w:r>
              <w:rPr>
                <w:rFonts w:ascii="宋体" w:hAnsi="宋体" w:cs="宋体" w:eastAsia="宋体"/>
                <w:sz w:val="24"/>
              </w:rPr>
              <w:t>99.7~171.5mJ，能量密度0.1~5.36mJ/mm²，穿透深度18.13~36mm，脉宽9~300μm</w:t>
            </w:r>
            <w:r>
              <w:rPr>
                <w:rFonts w:ascii="宋体" w:hAnsi="宋体" w:cs="宋体" w:eastAsia="宋体"/>
                <w:sz w:val="24"/>
              </w:rPr>
              <w:t>；</w:t>
            </w:r>
          </w:p>
          <w:p>
            <w:pPr>
              <w:pStyle w:val="null3"/>
              <w:jc w:val="left"/>
            </w:pPr>
            <w:r>
              <w:rPr>
                <w:rFonts w:ascii="宋体" w:hAnsi="宋体" w:cs="宋体" w:eastAsia="宋体"/>
                <w:sz w:val="24"/>
              </w:rPr>
              <w:t>5、具有过压、低压安全保护提示功</w:t>
            </w:r>
            <w:r>
              <w:rPr>
                <w:rFonts w:ascii="宋体" w:hAnsi="宋体" w:cs="宋体" w:eastAsia="宋体"/>
                <w:sz w:val="24"/>
              </w:rPr>
              <w:t>能：</w:t>
            </w:r>
            <w:r>
              <w:rPr>
                <w:rFonts w:ascii="宋体" w:hAnsi="宋体" w:cs="宋体" w:eastAsia="宋体"/>
                <w:sz w:val="24"/>
              </w:rPr>
              <w:t>过压安全保护：设备具有过压安全保护功能，当供给压力的控制功能失效时，所连接的系统压力不超过最大工作压力的</w:t>
            </w:r>
            <w:r>
              <w:rPr>
                <w:rFonts w:ascii="宋体" w:hAnsi="宋体" w:cs="宋体" w:eastAsia="宋体"/>
                <w:sz w:val="24"/>
              </w:rPr>
              <w:t>10%；气压不足提示：气路中压力小于2bar，具有提示功能</w:t>
            </w:r>
            <w:r>
              <w:rPr>
                <w:rFonts w:ascii="宋体" w:hAnsi="宋体" w:cs="宋体" w:eastAsia="宋体"/>
                <w:sz w:val="24"/>
              </w:rPr>
              <w:t>。</w:t>
            </w:r>
          </w:p>
          <w:p>
            <w:pPr>
              <w:pStyle w:val="null3"/>
              <w:jc w:val="left"/>
            </w:pPr>
            <w:r>
              <w:rPr>
                <w:rFonts w:ascii="宋体" w:hAnsi="宋体" w:cs="宋体" w:eastAsia="宋体"/>
                <w:sz w:val="24"/>
              </w:rPr>
              <w:t>6、</w:t>
            </w:r>
            <w:r>
              <w:rPr>
                <w:rFonts w:ascii="宋体" w:hAnsi="宋体" w:cs="宋体" w:eastAsia="宋体"/>
                <w:sz w:val="24"/>
              </w:rPr>
              <w:t>≥10英寸</w:t>
            </w:r>
            <w:r>
              <w:rPr>
                <w:rFonts w:ascii="宋体" w:hAnsi="宋体" w:cs="宋体" w:eastAsia="宋体"/>
                <w:sz w:val="24"/>
              </w:rPr>
              <w:t>高清触摸屏显示</w:t>
            </w:r>
            <w:r>
              <w:rPr>
                <w:rFonts w:ascii="&quot;times new roman&quot;" w:hAnsi="&quot;times new roman&quot;" w:cs="&quot;times new roman&quot;" w:eastAsia="&quot;times new roman&quot;"/>
                <w:sz w:val="21"/>
              </w:rPr>
              <w:t xml:space="preserve"> </w:t>
            </w:r>
            <w:r>
              <w:rPr>
                <w:rFonts w:ascii="宋体" w:hAnsi="宋体" w:cs="宋体" w:eastAsia="宋体"/>
                <w:sz w:val="24"/>
              </w:rPr>
              <w:t>；</w:t>
            </w:r>
          </w:p>
          <w:p>
            <w:pPr>
              <w:pStyle w:val="null3"/>
              <w:jc w:val="left"/>
            </w:pPr>
            <w:r>
              <w:rPr>
                <w:rFonts w:ascii="宋体" w:hAnsi="宋体" w:cs="宋体" w:eastAsia="宋体"/>
                <w:sz w:val="24"/>
              </w:rPr>
              <w:t>7、</w:t>
            </w:r>
            <w:r>
              <w:rPr>
                <w:rFonts w:ascii="宋体" w:hAnsi="宋体" w:cs="宋体" w:eastAsia="宋体"/>
                <w:sz w:val="24"/>
              </w:rPr>
              <w:t>实时显示治疗次数，</w:t>
            </w:r>
            <w:r>
              <w:rPr>
                <w:rFonts w:ascii="宋体" w:hAnsi="宋体" w:cs="宋体" w:eastAsia="宋体"/>
                <w:sz w:val="24"/>
              </w:rPr>
              <w:t>治疗次数累计自动保存显示；</w:t>
            </w:r>
          </w:p>
          <w:p>
            <w:pPr>
              <w:pStyle w:val="null3"/>
              <w:jc w:val="left"/>
            </w:pPr>
            <w:r>
              <w:rPr>
                <w:rFonts w:ascii="宋体" w:hAnsi="宋体" w:cs="宋体" w:eastAsia="宋体"/>
                <w:sz w:val="24"/>
              </w:rPr>
              <w:t>8、</w:t>
            </w:r>
            <w:r>
              <w:rPr>
                <w:rFonts w:ascii="宋体" w:hAnsi="宋体" w:cs="宋体" w:eastAsia="宋体"/>
                <w:sz w:val="24"/>
              </w:rPr>
              <w:t>治疗参数设置、显示功能（压力、频率、治疗次数），并可动态、静态设置调整治疗参数</w:t>
            </w:r>
            <w:r>
              <w:rPr>
                <w:rFonts w:ascii="宋体" w:hAnsi="宋体" w:cs="宋体" w:eastAsia="宋体"/>
                <w:sz w:val="24"/>
              </w:rPr>
              <w:t>；</w:t>
            </w:r>
          </w:p>
          <w:p>
            <w:pPr>
              <w:pStyle w:val="null3"/>
              <w:jc w:val="left"/>
            </w:pPr>
            <w:r>
              <w:rPr>
                <w:rFonts w:ascii="宋体" w:hAnsi="宋体" w:cs="宋体" w:eastAsia="宋体"/>
                <w:sz w:val="24"/>
              </w:rPr>
              <w:t>9、</w:t>
            </w:r>
            <w:r>
              <w:rPr>
                <w:rFonts w:ascii="宋体" w:hAnsi="宋体" w:cs="宋体" w:eastAsia="宋体"/>
                <w:sz w:val="24"/>
              </w:rPr>
              <w:t>设备具有自动排气功能，过压安全保护功能，气压不足提示功能：设备气路中的压力小于</w:t>
            </w:r>
            <w:r>
              <w:rPr>
                <w:rFonts w:ascii="宋体" w:hAnsi="宋体" w:cs="宋体" w:eastAsia="宋体"/>
                <w:sz w:val="24"/>
              </w:rPr>
              <w:t>2bar，具有提示功能</w:t>
            </w:r>
            <w:r>
              <w:rPr>
                <w:rFonts w:ascii="宋体" w:hAnsi="宋体" w:cs="宋体" w:eastAsia="宋体"/>
                <w:sz w:val="24"/>
              </w:rPr>
              <w:t>；</w:t>
            </w:r>
          </w:p>
          <w:p>
            <w:pPr>
              <w:pStyle w:val="null3"/>
              <w:jc w:val="left"/>
            </w:pPr>
            <w:r>
              <w:rPr>
                <w:rFonts w:ascii="宋体" w:hAnsi="宋体" w:cs="宋体" w:eastAsia="宋体"/>
                <w:sz w:val="24"/>
              </w:rPr>
              <w:t>10、</w:t>
            </w:r>
            <w:r>
              <w:rPr>
                <w:rFonts w:ascii="宋体" w:hAnsi="宋体" w:cs="宋体" w:eastAsia="宋体"/>
                <w:sz w:val="24"/>
              </w:rPr>
              <w:t>单枪、双枪独立控制，治疗手柄能量输出稳定，输出能量阶梯控制模型</w:t>
            </w:r>
            <w:r>
              <w:rPr>
                <w:rFonts w:ascii="宋体" w:hAnsi="宋体" w:cs="宋体" w:eastAsia="宋体"/>
                <w:sz w:val="24"/>
              </w:rPr>
              <w:t>；</w:t>
            </w:r>
          </w:p>
          <w:p>
            <w:pPr>
              <w:pStyle w:val="null3"/>
              <w:jc w:val="left"/>
            </w:pPr>
            <w:r>
              <w:rPr>
                <w:rFonts w:ascii="宋体" w:hAnsi="宋体" w:cs="宋体" w:eastAsia="宋体"/>
                <w:sz w:val="24"/>
              </w:rPr>
              <w:t>11、</w:t>
            </w:r>
            <w:r>
              <w:rPr>
                <w:rFonts w:ascii="宋体" w:hAnsi="宋体" w:cs="宋体" w:eastAsia="宋体"/>
                <w:sz w:val="24"/>
              </w:rPr>
              <w:t>治疗探头规格种类多样</w:t>
            </w:r>
            <w:r>
              <w:rPr>
                <w:rFonts w:ascii="宋体" w:hAnsi="宋体" w:cs="宋体" w:eastAsia="宋体"/>
                <w:sz w:val="24"/>
              </w:rPr>
              <w:t>≥8种</w:t>
            </w:r>
            <w:r>
              <w:rPr>
                <w:rFonts w:ascii="宋体" w:hAnsi="宋体" w:cs="宋体" w:eastAsia="宋体"/>
                <w:sz w:val="24"/>
              </w:rPr>
              <w:t>可供选择，适用于不同治疗</w:t>
            </w:r>
            <w:r>
              <w:rPr>
                <w:rFonts w:ascii="宋体" w:hAnsi="宋体" w:cs="宋体" w:eastAsia="宋体"/>
                <w:sz w:val="24"/>
              </w:rPr>
              <w:t>；</w:t>
            </w:r>
          </w:p>
          <w:p>
            <w:pPr>
              <w:pStyle w:val="null3"/>
              <w:jc w:val="left"/>
            </w:pPr>
            <w:r>
              <w:rPr>
                <w:rFonts w:ascii="宋体" w:hAnsi="宋体" w:cs="宋体" w:eastAsia="宋体"/>
                <w:sz w:val="24"/>
              </w:rPr>
              <w:t>12、</w:t>
            </w:r>
            <w:r>
              <w:rPr>
                <w:rFonts w:ascii="宋体" w:hAnsi="宋体" w:cs="宋体" w:eastAsia="宋体"/>
                <w:sz w:val="24"/>
              </w:rPr>
              <w:t>配置疼痛评估系统。</w:t>
            </w:r>
          </w:p>
          <w:p>
            <w:pPr>
              <w:pStyle w:val="null3"/>
              <w:jc w:val="both"/>
            </w:pPr>
            <w:r>
              <w:rPr>
                <w:rFonts w:ascii="宋体" w:hAnsi="宋体" w:cs="宋体" w:eastAsia="宋体"/>
                <w:sz w:val="24"/>
                <w:b/>
              </w:rPr>
              <w:t>三</w:t>
            </w:r>
            <w:r>
              <w:rPr>
                <w:rFonts w:ascii="宋体" w:hAnsi="宋体" w:cs="宋体" w:eastAsia="宋体"/>
                <w:sz w:val="24"/>
                <w:b/>
              </w:rPr>
              <w:t>、商务要求</w:t>
            </w:r>
          </w:p>
          <w:p>
            <w:pPr>
              <w:pStyle w:val="null3"/>
              <w:ind w:firstLine="480"/>
              <w:jc w:val="both"/>
            </w:pPr>
            <w:r>
              <w:rPr>
                <w:rFonts w:ascii="宋体" w:hAnsi="宋体" w:cs="宋体" w:eastAsia="宋体"/>
                <w:sz w:val="24"/>
              </w:rPr>
              <w:t>1、交货期：合同签订后</w:t>
            </w:r>
            <w:r>
              <w:rPr>
                <w:rFonts w:ascii="宋体" w:hAnsi="宋体" w:cs="宋体" w:eastAsia="宋体"/>
                <w:sz w:val="24"/>
              </w:rPr>
              <w:t>20</w:t>
            </w:r>
            <w:r>
              <w:rPr>
                <w:rFonts w:ascii="宋体" w:hAnsi="宋体" w:cs="宋体" w:eastAsia="宋体"/>
                <w:sz w:val="24"/>
              </w:rPr>
              <w:t>个日历日内交货安装调试完成。</w:t>
            </w:r>
          </w:p>
          <w:p>
            <w:pPr>
              <w:pStyle w:val="null3"/>
              <w:ind w:firstLine="480"/>
              <w:jc w:val="both"/>
            </w:pPr>
            <w:r>
              <w:rPr>
                <w:rFonts w:ascii="宋体" w:hAnsi="宋体" w:cs="宋体" w:eastAsia="宋体"/>
                <w:sz w:val="24"/>
              </w:rPr>
              <w:t>2、质保期：</w:t>
            </w:r>
            <w:r>
              <w:rPr>
                <w:rFonts w:ascii="宋体" w:hAnsi="宋体" w:cs="宋体" w:eastAsia="宋体"/>
                <w:sz w:val="24"/>
              </w:rPr>
              <w:t>一年。</w:t>
            </w:r>
          </w:p>
          <w:p>
            <w:pPr>
              <w:pStyle w:val="null3"/>
              <w:ind w:firstLine="480"/>
              <w:jc w:val="both"/>
            </w:pPr>
            <w:r>
              <w:rPr>
                <w:rFonts w:ascii="宋体" w:hAnsi="宋体" w:cs="宋体" w:eastAsia="宋体"/>
                <w:sz w:val="24"/>
              </w:rPr>
              <w:t>3、交货地点：采购人指定地点。</w:t>
            </w:r>
          </w:p>
          <w:p>
            <w:pPr>
              <w:pStyle w:val="null3"/>
              <w:ind w:firstLine="480"/>
              <w:jc w:val="both"/>
            </w:pPr>
            <w:r>
              <w:rPr>
                <w:rFonts w:ascii="宋体" w:hAnsi="宋体" w:cs="宋体" w:eastAsia="宋体"/>
                <w:sz w:val="24"/>
              </w:rPr>
              <w:t>4、付款方式：</w:t>
            </w:r>
          </w:p>
          <w:p>
            <w:pPr>
              <w:pStyle w:val="null3"/>
              <w:ind w:firstLine="480"/>
              <w:jc w:val="both"/>
            </w:pPr>
            <w:r>
              <w:rPr>
                <w:rFonts w:ascii="宋体" w:hAnsi="宋体" w:cs="宋体" w:eastAsia="宋体"/>
                <w:sz w:val="24"/>
              </w:rPr>
              <w:t>1) 付款方式：合同签订，产品到货安装并经采购人验收合格后无任何质量问题一次性全部付清。</w:t>
            </w:r>
          </w:p>
          <w:p>
            <w:pPr>
              <w:pStyle w:val="null3"/>
              <w:ind w:firstLine="480"/>
              <w:jc w:val="both"/>
            </w:pPr>
            <w:r>
              <w:rPr>
                <w:rFonts w:ascii="宋体" w:hAnsi="宋体" w:cs="宋体" w:eastAsia="宋体"/>
                <w:sz w:val="24"/>
              </w:rPr>
              <w:t>2) 支付方式：银行转账。</w:t>
            </w:r>
          </w:p>
          <w:p>
            <w:pPr>
              <w:pStyle w:val="null3"/>
              <w:ind w:firstLine="480"/>
              <w:jc w:val="both"/>
            </w:pPr>
            <w:r>
              <w:rPr>
                <w:rFonts w:ascii="宋体" w:hAnsi="宋体" w:cs="宋体" w:eastAsia="宋体"/>
                <w:sz w:val="24"/>
              </w:rPr>
              <w:t>3) 结算方式：付款前乙方应向甲方提供合法有效的全额发票。乙方持中标通知书、供货合同、发票，与甲方结算。</w:t>
            </w:r>
          </w:p>
          <w:p>
            <w:pPr>
              <w:pStyle w:val="null3"/>
              <w:jc w:val="both"/>
            </w:pPr>
            <w:r>
              <w:rPr>
                <w:rFonts w:ascii="宋体" w:hAnsi="宋体" w:cs="宋体" w:eastAsia="宋体"/>
                <w:sz w:val="24"/>
                <w:b/>
              </w:rPr>
              <w:t>四</w:t>
            </w:r>
            <w:r>
              <w:rPr>
                <w:rFonts w:ascii="宋体" w:hAnsi="宋体" w:cs="宋体" w:eastAsia="宋体"/>
                <w:sz w:val="24"/>
                <w:b/>
              </w:rPr>
              <w:t>、其他要求</w:t>
            </w:r>
          </w:p>
          <w:p>
            <w:pPr>
              <w:pStyle w:val="null3"/>
              <w:ind w:firstLine="480"/>
              <w:jc w:val="both"/>
            </w:pPr>
            <w:r>
              <w:rPr>
                <w:rFonts w:ascii="宋体" w:hAnsi="宋体" w:cs="宋体" w:eastAsia="宋体"/>
                <w:sz w:val="24"/>
              </w:rPr>
              <w:t>1、产品应为正品、非水货、淘汰产品，质量满足采购人要求。在质保期内，若产品出现问题，投标人应配合采购人维修；若维修不能解决问题，需进行更换。</w:t>
            </w:r>
          </w:p>
          <w:p>
            <w:pPr>
              <w:pStyle w:val="null3"/>
              <w:ind w:firstLine="480"/>
              <w:jc w:val="both"/>
            </w:pPr>
            <w:r>
              <w:rPr>
                <w:rFonts w:ascii="宋体" w:hAnsi="宋体" w:cs="宋体" w:eastAsia="宋体"/>
                <w:sz w:val="24"/>
              </w:rPr>
              <w:t>2</w:t>
            </w:r>
            <w:r>
              <w:rPr>
                <w:rFonts w:ascii="宋体" w:hAnsi="宋体" w:cs="宋体" w:eastAsia="宋体"/>
                <w:sz w:val="24"/>
              </w:rPr>
              <w:t>、满足采购文件要求并符合国家法律法规、行业管理部门要求的强制性标准、规范或地方标准或者企业标准规范或其他标准、规范。</w:t>
            </w: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交货期：合同签订后20个日历日内交货安装调试完成。</w:t>
      </w:r>
    </w:p>
    <w:p>
      <w:pPr>
        <w:pStyle w:val="null3"/>
        <w:outlineLvl w:val="3"/>
      </w:pPr>
      <w:r>
        <w:rPr>
          <w:sz w:val="24"/>
          <w:b/>
        </w:rPr>
        <w:t>3.4.2交货地点</w:t>
      </w:r>
    </w:p>
    <w:p>
      <w:pPr>
        <w:pStyle w:val="null3"/>
      </w:pPr>
      <w:r>
        <w:rPr/>
        <w:t>采购包1：</w:t>
      </w:r>
    </w:p>
    <w:p>
      <w:pPr>
        <w:pStyle w:val="null3"/>
      </w:pPr>
      <w:r>
        <w:rPr/>
        <w:t>采购人指定地点。</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合同签订，产品到货安装并经采购人验收合格后无任何质量问题一次性全部付清</w:t>
      </w:r>
      <w:r>
        <w:rPr/>
        <w:t xml:space="preserve"> ，达到付款条件起 </w:t>
      </w:r>
      <w:r>
        <w:rPr/>
        <w:t>15</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详见供货合同</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质保期：一年。</w:t>
      </w:r>
    </w:p>
    <w:p>
      <w:pPr>
        <w:pStyle w:val="null3"/>
        <w:outlineLvl w:val="3"/>
      </w:pPr>
      <w:r>
        <w:rPr>
          <w:sz w:val="24"/>
          <w:b/>
        </w:rPr>
        <w:t>3.4.8违约责任与解决争议的方法</w:t>
      </w:r>
    </w:p>
    <w:p>
      <w:pPr>
        <w:pStyle w:val="null3"/>
      </w:pPr>
      <w:r>
        <w:rPr/>
        <w:t>采购包1：</w:t>
      </w:r>
    </w:p>
    <w:p>
      <w:pPr>
        <w:pStyle w:val="null3"/>
      </w:pPr>
      <w:r>
        <w:rPr/>
        <w:t>详见供货合同</w:t>
      </w:r>
    </w:p>
    <w:p>
      <w:pPr>
        <w:pStyle w:val="null3"/>
        <w:jc w:val="left"/>
        <w:outlineLvl w:val="2"/>
      </w:pPr>
      <w:r>
        <w:rPr>
          <w:sz w:val="28"/>
          <w:b/>
        </w:rPr>
        <w:t>3.5其他要求</w:t>
      </w:r>
    </w:p>
    <w:p>
      <w:pPr>
        <w:pStyle w:val="null3"/>
      </w:pPr>
      <w:r>
        <w:rPr/>
        <w:t>1、本项目采购内容“西安市临潼区人民医院专用设备购置项目（二次）”对应的中小企业划分标准所属行业为：工业。2、供应商需要在线提交所有通过电子化交易平台实施的政府采购项目的响应文件，成交供应商在成交结果公示后线下递交系统生成的纸质响应文件正本壹份、副本壹份，递交文件地点：西安市高新区沣惠路16号泰华金贸国际8号楼28层。3、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资格证明材料</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营业执照等主体资格证明文件</w:t>
            </w:r>
          </w:p>
        </w:tc>
        <w:tc>
          <w:tcPr>
            <w:tcW w:type="dxa" w:w="3322"/>
          </w:tcPr>
          <w:p>
            <w:pPr>
              <w:pStyle w:val="null3"/>
            </w:pPr>
            <w:r>
              <w:rPr/>
              <w:t>提供有效存续的企业营业执照/事业单位法人证书/专业服务机构执业许可证/民办非企业单位登记证书，自然人投标的提供其身份证明；</w:t>
            </w:r>
          </w:p>
        </w:tc>
        <w:tc>
          <w:tcPr>
            <w:tcW w:type="dxa" w:w="1661"/>
          </w:tcPr>
          <w:p>
            <w:pPr>
              <w:pStyle w:val="null3"/>
            </w:pPr>
            <w:r>
              <w:rPr/>
              <w:t>资格证明材料</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2023年度经审计的有效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t>资格证明材料</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提供2024年4月至今已缴纳任意一个月纳税证明或税务机关开具的完税证明（时间以税款所属日期为准，凭据应有税务机关或代收机关的公章或业务专用章。）依法免税或无须缴纳税收的单位应提供相应证明文件；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t>资格证明材料</w:t>
            </w:r>
          </w:p>
        </w:tc>
      </w:tr>
      <w:tr>
        <w:tc>
          <w:tcPr>
            <w:tcW w:type="dxa" w:w="831"/>
          </w:tcPr>
          <w:p>
            <w:pPr>
              <w:pStyle w:val="null3"/>
            </w:pPr>
            <w:r>
              <w:rPr/>
              <w:t>4</w:t>
            </w:r>
          </w:p>
        </w:tc>
        <w:tc>
          <w:tcPr>
            <w:tcW w:type="dxa" w:w="2492"/>
          </w:tcPr>
          <w:p>
            <w:pPr>
              <w:pStyle w:val="null3"/>
            </w:pPr>
            <w:r>
              <w:rPr/>
              <w:t>社保缴纳证明</w:t>
            </w:r>
          </w:p>
        </w:tc>
        <w:tc>
          <w:tcPr>
            <w:tcW w:type="dxa" w:w="3322"/>
          </w:tcPr>
          <w:p>
            <w:pPr>
              <w:pStyle w:val="null3"/>
            </w:pPr>
            <w:r>
              <w:rPr/>
              <w:t>提供2024年4月至今已缴存任意一个月社会保障资金缴存单据或社保机构开具的社会保险参保缴费证明，依法不需要缴纳社会保障资金的单位应提供相应证明文件；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t>资格证明材料</w:t>
            </w:r>
          </w:p>
        </w:tc>
      </w:tr>
      <w:tr>
        <w:tc>
          <w:tcPr>
            <w:tcW w:type="dxa" w:w="831"/>
          </w:tcPr>
          <w:p>
            <w:pPr>
              <w:pStyle w:val="null3"/>
            </w:pPr>
            <w:r>
              <w:rPr/>
              <w:t>5</w:t>
            </w:r>
          </w:p>
        </w:tc>
        <w:tc>
          <w:tcPr>
            <w:tcW w:type="dxa" w:w="2492"/>
          </w:tcPr>
          <w:p>
            <w:pPr>
              <w:pStyle w:val="null3"/>
            </w:pPr>
            <w:r>
              <w:rPr/>
              <w:t>履行合同所必需的设备和专业技术能力</w:t>
            </w:r>
          </w:p>
        </w:tc>
        <w:tc>
          <w:tcPr>
            <w:tcW w:type="dxa" w:w="3322"/>
          </w:tcPr>
          <w:p>
            <w:pPr>
              <w:pStyle w:val="null3"/>
            </w:pPr>
            <w:r>
              <w:rPr/>
              <w:t>具备履行合同所必需的设备和专业技术能力的证明材料或书面声明；</w:t>
            </w:r>
          </w:p>
        </w:tc>
        <w:tc>
          <w:tcPr>
            <w:tcW w:type="dxa" w:w="1661"/>
          </w:tcPr>
          <w:p>
            <w:pPr>
              <w:pStyle w:val="null3"/>
            </w:pPr>
            <w:r>
              <w:rPr/>
              <w:t>资格证明材料</w:t>
            </w:r>
          </w:p>
        </w:tc>
      </w:tr>
      <w:tr>
        <w:tc>
          <w:tcPr>
            <w:tcW w:type="dxa" w:w="831"/>
          </w:tcPr>
          <w:p>
            <w:pPr>
              <w:pStyle w:val="null3"/>
            </w:pPr>
            <w:r>
              <w:rPr/>
              <w:t>6</w:t>
            </w:r>
          </w:p>
        </w:tc>
        <w:tc>
          <w:tcPr>
            <w:tcW w:type="dxa" w:w="2492"/>
          </w:tcPr>
          <w:p>
            <w:pPr>
              <w:pStyle w:val="null3"/>
            </w:pPr>
            <w:r>
              <w:rPr/>
              <w:t>采购活动前三年内在经营活动中没有重大违法记录</w:t>
            </w:r>
          </w:p>
        </w:tc>
        <w:tc>
          <w:tcPr>
            <w:tcW w:type="dxa" w:w="3322"/>
          </w:tcPr>
          <w:p>
            <w:pPr>
              <w:pStyle w:val="null3"/>
            </w:pPr>
            <w:r>
              <w:rPr/>
              <w:t>参加政府采购活动前三年内在经营活动中没有重大违法记录的书面声明；</w:t>
            </w:r>
          </w:p>
        </w:tc>
        <w:tc>
          <w:tcPr>
            <w:tcW w:type="dxa" w:w="1661"/>
          </w:tcPr>
          <w:p>
            <w:pPr>
              <w:pStyle w:val="null3"/>
            </w:pPr>
            <w:r>
              <w:rPr/>
              <w:t>资格证明材料</w:t>
            </w:r>
          </w:p>
        </w:tc>
      </w:tr>
      <w:tr>
        <w:tc>
          <w:tcPr>
            <w:tcW w:type="dxa" w:w="831"/>
          </w:tcPr>
          <w:p>
            <w:pPr>
              <w:pStyle w:val="null3"/>
            </w:pPr>
            <w:r>
              <w:rPr/>
              <w:t>7</w:t>
            </w:r>
          </w:p>
        </w:tc>
        <w:tc>
          <w:tcPr>
            <w:tcW w:type="dxa" w:w="2492"/>
          </w:tcPr>
          <w:p>
            <w:pPr>
              <w:pStyle w:val="null3"/>
            </w:pPr>
            <w:r>
              <w:rPr/>
              <w:t>法律、行政法规规定的其他条件</w:t>
            </w:r>
          </w:p>
        </w:tc>
        <w:tc>
          <w:tcPr>
            <w:tcW w:type="dxa" w:w="3322"/>
          </w:tcPr>
          <w:p>
            <w:pPr>
              <w:pStyle w:val="null3"/>
            </w:pPr>
            <w:r>
              <w:rPr/>
              <w:t>具备法律、行政法规规定的其他条件的证明材料。</w:t>
            </w:r>
          </w:p>
        </w:tc>
        <w:tc>
          <w:tcPr>
            <w:tcW w:type="dxa" w:w="1661"/>
          </w:tcPr>
          <w:p>
            <w:pPr>
              <w:pStyle w:val="null3"/>
            </w:pPr>
            <w:r>
              <w:rPr/>
              <w:t>资格证明材料</w:t>
            </w:r>
          </w:p>
        </w:tc>
      </w:tr>
      <w:tr>
        <w:tc>
          <w:tcPr>
            <w:tcW w:type="dxa" w:w="831"/>
          </w:tcPr>
          <w:p>
            <w:pPr>
              <w:pStyle w:val="null3"/>
            </w:pPr>
            <w:r>
              <w:rPr/>
              <w:t>8</w:t>
            </w:r>
          </w:p>
        </w:tc>
        <w:tc>
          <w:tcPr>
            <w:tcW w:type="dxa" w:w="2492"/>
          </w:tcPr>
          <w:p>
            <w:pPr>
              <w:pStyle w:val="null3"/>
            </w:pPr>
            <w:r>
              <w:rPr/>
              <w:t>资质证书</w:t>
            </w:r>
          </w:p>
        </w:tc>
        <w:tc>
          <w:tcPr>
            <w:tcW w:type="dxa" w:w="3322"/>
          </w:tcPr>
          <w:p>
            <w:pPr>
              <w:pStyle w:val="null3"/>
            </w:pPr>
            <w:r>
              <w:rPr/>
              <w:t>投标人为经销商的须提供医疗器械经营许可证或医疗器械经营备案凭证、制造厂家的医疗器械生产许可证或医疗器械生产备案凭证，产品列入医疗器械管理的须提供相应的医疗器械注册证（有效期内）；投标人为制造厂家的须提供医疗器械生产许可证或医疗器械生产备案凭证、产品列入医疗器械管理的须提供相应的医疗器械注册证（有效期内）。</w:t>
            </w:r>
          </w:p>
        </w:tc>
        <w:tc>
          <w:tcPr>
            <w:tcW w:type="dxa" w:w="1661"/>
          </w:tcPr>
          <w:p>
            <w:pPr>
              <w:pStyle w:val="null3"/>
            </w:pPr>
            <w:r>
              <w:rPr/>
              <w:t>资格证明材料</w:t>
            </w:r>
          </w:p>
        </w:tc>
      </w:tr>
      <w:tr>
        <w:tc>
          <w:tcPr>
            <w:tcW w:type="dxa" w:w="831"/>
          </w:tcPr>
          <w:p>
            <w:pPr>
              <w:pStyle w:val="null3"/>
            </w:pPr>
            <w:r>
              <w:rPr/>
              <w:t>9</w:t>
            </w:r>
          </w:p>
        </w:tc>
        <w:tc>
          <w:tcPr>
            <w:tcW w:type="dxa" w:w="2492"/>
          </w:tcPr>
          <w:p>
            <w:pPr>
              <w:pStyle w:val="null3"/>
            </w:pPr>
            <w:r>
              <w:rPr/>
              <w:t>企业信用查询</w:t>
            </w:r>
          </w:p>
        </w:tc>
        <w:tc>
          <w:tcPr>
            <w:tcW w:type="dxa" w:w="3322"/>
          </w:tcPr>
          <w:p>
            <w:pPr>
              <w:pStyle w:val="null3"/>
            </w:pPr>
            <w:r>
              <w:rPr/>
              <w:t>投标人通过“信用中国”网站(www.creditchina.gov.cn)、中国政府采购网(www.ccgp.gov.cn)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投标人，采购代理机构将拒绝其参与政府采购活动。）</w:t>
            </w:r>
          </w:p>
        </w:tc>
        <w:tc>
          <w:tcPr>
            <w:tcW w:type="dxa" w:w="1661"/>
          </w:tcPr>
          <w:p>
            <w:pPr>
              <w:pStyle w:val="null3"/>
            </w:pPr>
            <w:r>
              <w:rPr/>
              <w:t>资格证明材料</w:t>
            </w:r>
          </w:p>
        </w:tc>
      </w:tr>
      <w:tr>
        <w:tc>
          <w:tcPr>
            <w:tcW w:type="dxa" w:w="831"/>
          </w:tcPr>
          <w:p>
            <w:pPr>
              <w:pStyle w:val="null3"/>
            </w:pPr>
            <w:r>
              <w:rPr/>
              <w:t>10</w:t>
            </w:r>
          </w:p>
        </w:tc>
        <w:tc>
          <w:tcPr>
            <w:tcW w:type="dxa" w:w="2492"/>
          </w:tcPr>
          <w:p>
            <w:pPr>
              <w:pStyle w:val="null3"/>
            </w:pPr>
            <w:r>
              <w:rPr/>
              <w:t>法定代表人授权委托书</w:t>
            </w:r>
          </w:p>
        </w:tc>
        <w:tc>
          <w:tcPr>
            <w:tcW w:type="dxa" w:w="3322"/>
          </w:tcPr>
          <w:p>
            <w:pPr>
              <w:pStyle w:val="null3"/>
            </w:pPr>
            <w:r>
              <w:rPr/>
              <w:t>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tc>
        <w:tc>
          <w:tcPr>
            <w:tcW w:type="dxa" w:w="1661"/>
          </w:tcPr>
          <w:p>
            <w:pPr>
              <w:pStyle w:val="null3"/>
            </w:pPr>
            <w:r>
              <w:rPr/>
              <w:t>资格证明材料</w:t>
            </w:r>
          </w:p>
        </w:tc>
      </w:tr>
      <w:tr>
        <w:tc>
          <w:tcPr>
            <w:tcW w:type="dxa" w:w="831"/>
          </w:tcPr>
          <w:p>
            <w:pPr>
              <w:pStyle w:val="null3"/>
            </w:pPr>
            <w:r>
              <w:rPr/>
              <w:t>11</w:t>
            </w:r>
          </w:p>
        </w:tc>
        <w:tc>
          <w:tcPr>
            <w:tcW w:type="dxa" w:w="2492"/>
          </w:tcPr>
          <w:p>
            <w:pPr>
              <w:pStyle w:val="null3"/>
            </w:pPr>
            <w:r>
              <w:rPr/>
              <w:t>本项目不接受联合体投标，不允许分包</w:t>
            </w:r>
          </w:p>
        </w:tc>
        <w:tc>
          <w:tcPr>
            <w:tcW w:type="dxa" w:w="3322"/>
          </w:tcPr>
          <w:p>
            <w:pPr>
              <w:pStyle w:val="null3"/>
            </w:pPr>
            <w:r>
              <w:rPr/>
              <w:t>本项目不接受联合体投标，不允许分包。投标人提供《非联合体不分包投标声明》，视为独立投标，不分包。</w:t>
            </w:r>
          </w:p>
        </w:tc>
        <w:tc>
          <w:tcPr>
            <w:tcW w:type="dxa" w:w="1661"/>
          </w:tcPr>
          <w:p>
            <w:pPr>
              <w:pStyle w:val="null3"/>
            </w:pPr>
            <w:r>
              <w:rPr/>
              <w:t>资格证明材料</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参与的供应商（联合体）提供的货物全部由符合政策要求的中小企业制造。</w:t>
            </w:r>
          </w:p>
        </w:tc>
        <w:tc>
          <w:tcPr>
            <w:tcW w:type="dxa" w:w="1661"/>
          </w:tcPr>
          <w:p>
            <w:pPr>
              <w:pStyle w:val="null3"/>
            </w:pPr>
            <w:r>
              <w:rPr/>
              <w:t>中小企业声明函 残疾人福利性单位声明函 监狱企业的证明文件</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开标一览表、分项报价表、节能环保、环境标志产品明细表、货物说明一览表 标的清单</w:t>
            </w:r>
          </w:p>
        </w:tc>
      </w:tr>
      <w:tr>
        <w:tc>
          <w:tcPr>
            <w:tcW w:type="dxa" w:w="831"/>
          </w:tcPr>
          <w:p>
            <w:pPr>
              <w:pStyle w:val="null3"/>
            </w:pPr>
            <w:r>
              <w:rPr/>
              <w:t>2</w:t>
            </w:r>
          </w:p>
        </w:tc>
        <w:tc>
          <w:tcPr>
            <w:tcW w:type="dxa" w:w="2492"/>
          </w:tcPr>
          <w:p>
            <w:pPr>
              <w:pStyle w:val="null3"/>
            </w:pPr>
            <w:r>
              <w:rPr/>
              <w:t>签署、盖章</w:t>
            </w:r>
          </w:p>
        </w:tc>
        <w:tc>
          <w:tcPr>
            <w:tcW w:type="dxa" w:w="3322"/>
          </w:tcPr>
          <w:p>
            <w:pPr>
              <w:pStyle w:val="null3"/>
            </w:pPr>
            <w:r>
              <w:rPr/>
              <w:t>按照招标文件规定要求签署、盖章</w:t>
            </w:r>
          </w:p>
        </w:tc>
        <w:tc>
          <w:tcPr>
            <w:tcW w:type="dxa" w:w="1661"/>
          </w:tcPr>
          <w:p>
            <w:pPr>
              <w:pStyle w:val="null3"/>
            </w:pPr>
            <w:r>
              <w:rPr/>
              <w:t>开标一览表 供货服务方案 中小企业声明函 资格证明材料 开标一览表、分项报价表、节能环保、环境标志产品明细表、货物说明一览表 投标人承诺书 偏差表 投标函 残疾人福利性单位声明函 标的清单 投标人认为有必要说明的其他资料 投标文件封面 监狱企业的证明文件</w:t>
            </w:r>
          </w:p>
        </w:tc>
      </w:tr>
      <w:tr>
        <w:tc>
          <w:tcPr>
            <w:tcW w:type="dxa" w:w="831"/>
          </w:tcPr>
          <w:p>
            <w:pPr>
              <w:pStyle w:val="null3"/>
            </w:pPr>
            <w:r>
              <w:rPr/>
              <w:t>3</w:t>
            </w:r>
          </w:p>
        </w:tc>
        <w:tc>
          <w:tcPr>
            <w:tcW w:type="dxa" w:w="2492"/>
          </w:tcPr>
          <w:p>
            <w:pPr>
              <w:pStyle w:val="null3"/>
            </w:pPr>
            <w:r>
              <w:rPr/>
              <w:t>报价唯一</w:t>
            </w:r>
          </w:p>
        </w:tc>
        <w:tc>
          <w:tcPr>
            <w:tcW w:type="dxa" w:w="3322"/>
          </w:tcPr>
          <w:p>
            <w:pPr>
              <w:pStyle w:val="null3"/>
            </w:pPr>
            <w:r>
              <w:rPr/>
              <w:t>只能有一个有效报价，不得提交选择性报价，且报价不超过采购预算金额或最高限价。</w:t>
            </w:r>
          </w:p>
        </w:tc>
        <w:tc>
          <w:tcPr>
            <w:tcW w:type="dxa" w:w="1661"/>
          </w:tcPr>
          <w:p>
            <w:pPr>
              <w:pStyle w:val="null3"/>
            </w:pPr>
            <w:r>
              <w:rPr/>
              <w:t>开标一览表 开标一览表、分项报价表、节能环保、环境标志产品明细表、货物说明一览表 标的清单</w:t>
            </w:r>
          </w:p>
        </w:tc>
      </w:tr>
      <w:tr>
        <w:tc>
          <w:tcPr>
            <w:tcW w:type="dxa" w:w="831"/>
          </w:tcPr>
          <w:p>
            <w:pPr>
              <w:pStyle w:val="null3"/>
            </w:pPr>
            <w:r>
              <w:rPr/>
              <w:t>4</w:t>
            </w:r>
          </w:p>
        </w:tc>
        <w:tc>
          <w:tcPr>
            <w:tcW w:type="dxa" w:w="2492"/>
          </w:tcPr>
          <w:p>
            <w:pPr>
              <w:pStyle w:val="null3"/>
            </w:pPr>
            <w:r>
              <w:rPr/>
              <w:t>投标文件内容</w:t>
            </w:r>
          </w:p>
        </w:tc>
        <w:tc>
          <w:tcPr>
            <w:tcW w:type="dxa" w:w="3322"/>
          </w:tcPr>
          <w:p>
            <w:pPr>
              <w:pStyle w:val="null3"/>
            </w:pPr>
            <w:r>
              <w:rPr/>
              <w:t>投标文件内容齐全、无遗漏</w:t>
            </w:r>
          </w:p>
        </w:tc>
        <w:tc>
          <w:tcPr>
            <w:tcW w:type="dxa" w:w="1661"/>
          </w:tcPr>
          <w:p>
            <w:pPr>
              <w:pStyle w:val="null3"/>
            </w:pPr>
            <w:r>
              <w:rPr/>
              <w:t>开标一览表 供货服务方案 中小企业声明函 资格证明材料 开标一览表、分项报价表、节能环保、环境标志产品明细表、货物说明一览表 投标人承诺书 偏差表 投标函 残疾人福利性单位声明函 标的清单 投标人认为有必要说明的其他资料 投标文件封面 监狱企业的证明文件</w:t>
            </w:r>
          </w:p>
        </w:tc>
      </w:tr>
      <w:tr>
        <w:tc>
          <w:tcPr>
            <w:tcW w:type="dxa" w:w="831"/>
          </w:tcPr>
          <w:p>
            <w:pPr>
              <w:pStyle w:val="null3"/>
            </w:pPr>
            <w:r>
              <w:rPr/>
              <w:t>5</w:t>
            </w:r>
          </w:p>
        </w:tc>
        <w:tc>
          <w:tcPr>
            <w:tcW w:type="dxa" w:w="2492"/>
          </w:tcPr>
          <w:p>
            <w:pPr>
              <w:pStyle w:val="null3"/>
            </w:pPr>
            <w:r>
              <w:rPr/>
              <w:t>对招标文件响应程度</w:t>
            </w:r>
          </w:p>
        </w:tc>
        <w:tc>
          <w:tcPr>
            <w:tcW w:type="dxa" w:w="3322"/>
          </w:tcPr>
          <w:p>
            <w:pPr>
              <w:pStyle w:val="null3"/>
            </w:pPr>
            <w:r>
              <w:rPr/>
              <w:t>要求全面响应，不能有任何采购人不能接受的附加条件</w:t>
            </w:r>
          </w:p>
        </w:tc>
        <w:tc>
          <w:tcPr>
            <w:tcW w:type="dxa" w:w="1661"/>
          </w:tcPr>
          <w:p>
            <w:pPr>
              <w:pStyle w:val="null3"/>
            </w:pPr>
            <w:r>
              <w:rPr/>
              <w:t>开标一览表 供货服务方案 中小企业声明函 资格证明材料 开标一览表、分项报价表、节能环保、环境标志产品明细表、货物说明一览表 投标人承诺书 偏差表 投标函 残疾人福利性单位声明函 标的清单 投标人认为有必要说明的其他资料 投标文件封面 监狱企业的证明文件</w:t>
            </w:r>
          </w:p>
        </w:tc>
      </w:tr>
      <w:tr>
        <w:tc>
          <w:tcPr>
            <w:tcW w:type="dxa" w:w="831"/>
          </w:tcPr>
          <w:p>
            <w:pPr>
              <w:pStyle w:val="null3"/>
            </w:pPr>
            <w:r>
              <w:rPr/>
              <w:t>6</w:t>
            </w:r>
          </w:p>
        </w:tc>
        <w:tc>
          <w:tcPr>
            <w:tcW w:type="dxa" w:w="2492"/>
          </w:tcPr>
          <w:p>
            <w:pPr>
              <w:pStyle w:val="null3"/>
            </w:pPr>
            <w:r>
              <w:rPr/>
              <w:t>交货期、质保期</w:t>
            </w:r>
          </w:p>
        </w:tc>
        <w:tc>
          <w:tcPr>
            <w:tcW w:type="dxa" w:w="3322"/>
          </w:tcPr>
          <w:p>
            <w:pPr>
              <w:pStyle w:val="null3"/>
            </w:pPr>
            <w:r>
              <w:rPr/>
              <w:t>应满足招标文件中要求的交货期、质保期</w:t>
            </w:r>
          </w:p>
        </w:tc>
        <w:tc>
          <w:tcPr>
            <w:tcW w:type="dxa" w:w="1661"/>
          </w:tcPr>
          <w:p>
            <w:pPr>
              <w:pStyle w:val="null3"/>
            </w:pPr>
            <w:r>
              <w:rPr/>
              <w:t>开标一览表 开标一览表、分项报价表、节能环保、环境标志产品明细表、货物说明一览表 标的清单</w:t>
            </w:r>
          </w:p>
        </w:tc>
      </w:tr>
      <w:tr>
        <w:tc>
          <w:tcPr>
            <w:tcW w:type="dxa" w:w="831"/>
          </w:tcPr>
          <w:p>
            <w:pPr>
              <w:pStyle w:val="null3"/>
            </w:pPr>
            <w:r>
              <w:rPr/>
              <w:t>7</w:t>
            </w:r>
          </w:p>
        </w:tc>
        <w:tc>
          <w:tcPr>
            <w:tcW w:type="dxa" w:w="2492"/>
          </w:tcPr>
          <w:p>
            <w:pPr>
              <w:pStyle w:val="null3"/>
            </w:pPr>
            <w:r>
              <w:rPr/>
              <w:t>投标有效期</w:t>
            </w:r>
          </w:p>
        </w:tc>
        <w:tc>
          <w:tcPr>
            <w:tcW w:type="dxa" w:w="3322"/>
          </w:tcPr>
          <w:p>
            <w:pPr>
              <w:pStyle w:val="null3"/>
            </w:pPr>
            <w:r>
              <w:rPr/>
              <w:t>投标有效期满足招标文件要求</w:t>
            </w:r>
          </w:p>
        </w:tc>
        <w:tc>
          <w:tcPr>
            <w:tcW w:type="dxa" w:w="1661"/>
          </w:tcPr>
          <w:p>
            <w:pPr>
              <w:pStyle w:val="null3"/>
            </w:pPr>
            <w:r>
              <w:rPr/>
              <w:t>投标函 资格证明材料</w:t>
            </w:r>
          </w:p>
        </w:tc>
      </w:tr>
      <w:tr>
        <w:tc>
          <w:tcPr>
            <w:tcW w:type="dxa" w:w="831"/>
          </w:tcPr>
          <w:p>
            <w:pPr>
              <w:pStyle w:val="null3"/>
            </w:pPr>
            <w:r>
              <w:rPr/>
              <w:t>8</w:t>
            </w:r>
          </w:p>
        </w:tc>
        <w:tc>
          <w:tcPr>
            <w:tcW w:type="dxa" w:w="2492"/>
          </w:tcPr>
          <w:p>
            <w:pPr>
              <w:pStyle w:val="null3"/>
            </w:pPr>
            <w:r>
              <w:rPr/>
              <w:t>实质性条款</w:t>
            </w:r>
          </w:p>
        </w:tc>
        <w:tc>
          <w:tcPr>
            <w:tcW w:type="dxa" w:w="3322"/>
          </w:tcPr>
          <w:p>
            <w:pPr>
              <w:pStyle w:val="null3"/>
            </w:pPr>
            <w:r>
              <w:rPr/>
              <w:t>满足本招标文件中的实质性条款（交货期、交货地点、付款方式）要求</w:t>
            </w:r>
          </w:p>
        </w:tc>
        <w:tc>
          <w:tcPr>
            <w:tcW w:type="dxa" w:w="1661"/>
          </w:tcPr>
          <w:p>
            <w:pPr>
              <w:pStyle w:val="null3"/>
            </w:pPr>
            <w:r>
              <w:rPr/>
              <w:t>偏差表 开标一览表 标的清单 开标一览表、分项报价表、节能环保、环境标志产品明细表、货物说明一览表</w:t>
            </w:r>
          </w:p>
        </w:tc>
      </w:tr>
      <w:tr>
        <w:tc>
          <w:tcPr>
            <w:tcW w:type="dxa" w:w="831"/>
          </w:tcPr>
          <w:p>
            <w:pPr>
              <w:pStyle w:val="null3"/>
            </w:pPr>
            <w:r>
              <w:rPr/>
              <w:t>9</w:t>
            </w:r>
          </w:p>
        </w:tc>
        <w:tc>
          <w:tcPr>
            <w:tcW w:type="dxa" w:w="2492"/>
          </w:tcPr>
          <w:p>
            <w:pPr>
              <w:pStyle w:val="null3"/>
            </w:pPr>
            <w:r>
              <w:rPr/>
              <w:t>其他情形</w:t>
            </w:r>
          </w:p>
        </w:tc>
        <w:tc>
          <w:tcPr>
            <w:tcW w:type="dxa" w:w="3322"/>
          </w:tcPr>
          <w:p>
            <w:pPr>
              <w:pStyle w:val="null3"/>
            </w:pPr>
            <w:r>
              <w:rPr/>
              <w:t>无法律、规章、规范性文件和招标文件规定的其他无效情形</w:t>
            </w:r>
          </w:p>
        </w:tc>
        <w:tc>
          <w:tcPr>
            <w:tcW w:type="dxa" w:w="1661"/>
          </w:tcPr>
          <w:p>
            <w:pPr>
              <w:pStyle w:val="null3"/>
            </w:pPr>
            <w:r>
              <w:rPr/>
              <w:t>开标一览表 供货服务方案 中小企业声明函 资格证明材料 开标一览表、分项报价表、节能环保、环境标志产品明细表、货物说明一览表 投标人承诺书 偏差表 投标函 残疾人福利性单位声明函 标的清单 投标人认为有必要说明的其他资料 投标文件封面 监狱企业的证明文件</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节能、 环保、 环境标志产品</w:t>
            </w:r>
          </w:p>
        </w:tc>
        <w:tc>
          <w:tcPr>
            <w:tcW w:type="dxa" w:w="2492"/>
          </w:tcPr>
          <w:p>
            <w:pPr>
              <w:pStyle w:val="null3"/>
            </w:pPr>
            <w:r>
              <w:rPr/>
              <w:t>投标产品为节能、环保、环境标志产品清单中的产品，符合招标文件要求的，可优先采购并根据其占投标报价总金额的百分比计算得分，计算公式为：得分=（节能、环保、环境标志产品清单中的产品报价/投标报价）×2</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开标一览表、分项报价表、节能环保、环境标志产品明细表、货物说明一览表</w:t>
            </w:r>
          </w:p>
        </w:tc>
      </w:tr>
      <w:tr>
        <w:tc>
          <w:tcPr>
            <w:tcW w:type="dxa" w:w="831"/>
            <w:vMerge/>
          </w:tcPr>
          <w:p/>
        </w:tc>
        <w:tc>
          <w:tcPr>
            <w:tcW w:type="dxa" w:w="1661"/>
          </w:tcPr>
          <w:p>
            <w:pPr>
              <w:pStyle w:val="null3"/>
            </w:pPr>
            <w:r>
              <w:rPr/>
              <w:t>技术参数</w:t>
            </w:r>
          </w:p>
        </w:tc>
        <w:tc>
          <w:tcPr>
            <w:tcW w:type="dxa" w:w="2492"/>
          </w:tcPr>
          <w:p>
            <w:pPr>
              <w:pStyle w:val="null3"/>
            </w:pPr>
            <w:r>
              <w:rPr/>
              <w:t>根据投标产品主要技术指标的满足程度赋分： 投标产品完全符合、响应招标文件要求，没有负偏离计30分；“★”号参数为重要技术指标未满足按照无效文件处理。 1.“▲”号参数为关键指标每负偏离一项扣3分，此项共计15分； 2.非“▲”号参数每负偏离一项扣0.5分，扣完为止，此项共计15分； 备注：“★”、“▲”号技术参数必须提供相关的证明材料加以佐证，包括但不限于检验报告、产品彩页、产品说明书、官网功能截图等技术支持性文件（资料）等。</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偏差表</w:t>
            </w:r>
          </w:p>
        </w:tc>
      </w:tr>
      <w:tr>
        <w:tc>
          <w:tcPr>
            <w:tcW w:type="dxa" w:w="831"/>
            <w:vMerge/>
          </w:tcPr>
          <w:p/>
        </w:tc>
        <w:tc>
          <w:tcPr>
            <w:tcW w:type="dxa" w:w="1661"/>
          </w:tcPr>
          <w:p>
            <w:pPr>
              <w:pStyle w:val="null3"/>
            </w:pPr>
            <w:r>
              <w:rPr/>
              <w:t>产品来源渠道</w:t>
            </w:r>
          </w:p>
        </w:tc>
        <w:tc>
          <w:tcPr>
            <w:tcW w:type="dxa" w:w="2492"/>
          </w:tcPr>
          <w:p>
            <w:pPr>
              <w:pStyle w:val="null3"/>
            </w:pPr>
            <w:r>
              <w:rPr/>
              <w:t>产品供货渠道正常，无劣质、翻新、瑕疵产品及产权纠纷，针对本项目提供产品的来源渠道合法证明材料（包括但不限于销售协议、代理协议、原厂授权等）计2分，未提供或提供不全不计分。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供货服务方案</w:t>
            </w:r>
          </w:p>
        </w:tc>
      </w:tr>
      <w:tr>
        <w:tc>
          <w:tcPr>
            <w:tcW w:type="dxa" w:w="831"/>
            <w:vMerge/>
          </w:tcPr>
          <w:p/>
        </w:tc>
        <w:tc>
          <w:tcPr>
            <w:tcW w:type="dxa" w:w="1661"/>
          </w:tcPr>
          <w:p>
            <w:pPr>
              <w:pStyle w:val="null3"/>
            </w:pPr>
            <w:r>
              <w:rPr/>
              <w:t>产品质量及保障措施</w:t>
            </w:r>
          </w:p>
        </w:tc>
        <w:tc>
          <w:tcPr>
            <w:tcW w:type="dxa" w:w="2492"/>
          </w:tcPr>
          <w:p>
            <w:pPr>
              <w:pStyle w:val="null3"/>
            </w:pPr>
            <w:r>
              <w:rPr/>
              <w:t>投标人提供的产品符合国家的标准和行业规定的质量、安全标准，提供保障措施。产品符合质量、安全标准，保障措施合理、有效计(2-4]分；产品符合质量、安全标准，保障措施简单、合理性一般计[0-2]分。</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供货服务方案</w:t>
            </w:r>
          </w:p>
        </w:tc>
      </w:tr>
      <w:tr>
        <w:tc>
          <w:tcPr>
            <w:tcW w:type="dxa" w:w="831"/>
            <w:vMerge/>
          </w:tcPr>
          <w:p/>
        </w:tc>
        <w:tc>
          <w:tcPr>
            <w:tcW w:type="dxa" w:w="1661"/>
          </w:tcPr>
          <w:p>
            <w:pPr>
              <w:pStyle w:val="null3"/>
            </w:pPr>
            <w:r>
              <w:rPr/>
              <w:t>产品供货、包装、运输、配送计划及保障措施</w:t>
            </w:r>
          </w:p>
        </w:tc>
        <w:tc>
          <w:tcPr>
            <w:tcW w:type="dxa" w:w="2492"/>
          </w:tcPr>
          <w:p>
            <w:pPr>
              <w:pStyle w:val="null3"/>
            </w:pPr>
            <w:r>
              <w:rPr/>
              <w:t>投标人提供产品供货、包装、运输、配送计划及保障措施。投标人产品供货计划合理、可行计(3-5]分；投标人产品供货计划简单，可行性一般计[0-3]分。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供货服务方案</w:t>
            </w:r>
          </w:p>
        </w:tc>
      </w:tr>
      <w:tr>
        <w:tc>
          <w:tcPr>
            <w:tcW w:type="dxa" w:w="831"/>
            <w:vMerge/>
          </w:tcPr>
          <w:p/>
        </w:tc>
        <w:tc>
          <w:tcPr>
            <w:tcW w:type="dxa" w:w="1661"/>
          </w:tcPr>
          <w:p>
            <w:pPr>
              <w:pStyle w:val="null3"/>
            </w:pPr>
            <w:r>
              <w:rPr/>
              <w:t>人员安排及责任制度</w:t>
            </w:r>
          </w:p>
        </w:tc>
        <w:tc>
          <w:tcPr>
            <w:tcW w:type="dxa" w:w="2492"/>
          </w:tcPr>
          <w:p>
            <w:pPr>
              <w:pStyle w:val="null3"/>
            </w:pPr>
            <w:r>
              <w:rPr/>
              <w:t>拟投入本项目的人员安排及责任制度。投标人投入人员专业、配备齐全，制度完善计(2-4]分；投标人投入人员专业、配备简单，制度未完善计[0-2]分。</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供货服务方案</w:t>
            </w:r>
          </w:p>
        </w:tc>
      </w:tr>
      <w:tr>
        <w:tc>
          <w:tcPr>
            <w:tcW w:type="dxa" w:w="831"/>
            <w:vMerge/>
          </w:tcPr>
          <w:p/>
        </w:tc>
        <w:tc>
          <w:tcPr>
            <w:tcW w:type="dxa" w:w="1661"/>
          </w:tcPr>
          <w:p>
            <w:pPr>
              <w:pStyle w:val="null3"/>
            </w:pPr>
            <w:r>
              <w:rPr/>
              <w:t>应急保障能力</w:t>
            </w:r>
          </w:p>
        </w:tc>
        <w:tc>
          <w:tcPr>
            <w:tcW w:type="dxa" w:w="2492"/>
          </w:tcPr>
          <w:p>
            <w:pPr>
              <w:pStyle w:val="null3"/>
            </w:pPr>
            <w:r>
              <w:rPr/>
              <w:t>投标人的应急保障能力。投标人的应急保障方案全面、详细、合理计(2-4]分；应急保障方案简单、未全面计[0-2]分。</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供货服务方案</w:t>
            </w:r>
          </w:p>
        </w:tc>
      </w:tr>
      <w:tr>
        <w:tc>
          <w:tcPr>
            <w:tcW w:type="dxa" w:w="831"/>
            <w:vMerge/>
          </w:tcPr>
          <w:p/>
        </w:tc>
        <w:tc>
          <w:tcPr>
            <w:tcW w:type="dxa" w:w="1661"/>
          </w:tcPr>
          <w:p>
            <w:pPr>
              <w:pStyle w:val="null3"/>
            </w:pPr>
            <w:r>
              <w:rPr/>
              <w:t>安装调试方案</w:t>
            </w:r>
          </w:p>
        </w:tc>
        <w:tc>
          <w:tcPr>
            <w:tcW w:type="dxa" w:w="2492"/>
          </w:tcPr>
          <w:p>
            <w:pPr>
              <w:pStyle w:val="null3"/>
            </w:pPr>
            <w:r>
              <w:rPr/>
              <w:t>投标人提供安装调试方案（包括安装调试进度流程安排、安装调试内容等）。安装调试方案具体合理，有针对性、可操作性强计(3-5]分；安装调试方案简单、可操作性一般计[0-3]分。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供货服务方案</w:t>
            </w:r>
          </w:p>
        </w:tc>
      </w:tr>
      <w:tr>
        <w:tc>
          <w:tcPr>
            <w:tcW w:type="dxa" w:w="831"/>
            <w:vMerge/>
          </w:tcPr>
          <w:p/>
        </w:tc>
        <w:tc>
          <w:tcPr>
            <w:tcW w:type="dxa" w:w="1661"/>
          </w:tcPr>
          <w:p>
            <w:pPr>
              <w:pStyle w:val="null3"/>
            </w:pPr>
            <w:r>
              <w:rPr/>
              <w:t>售后服务</w:t>
            </w:r>
          </w:p>
        </w:tc>
        <w:tc>
          <w:tcPr>
            <w:tcW w:type="dxa" w:w="2492"/>
          </w:tcPr>
          <w:p>
            <w:pPr>
              <w:pStyle w:val="null3"/>
            </w:pPr>
            <w:r>
              <w:rPr/>
              <w:t>具有本地售后服务能力（提供证明材料、联系方式等），售后服务方案详细、具体、可行（包括投标人售后服务网点的设定、拟投入售后服务人员配置情况、产品交付用户后出现质量问题退换货响应时间、调用备用产品的能力等）。售后服务方案合理，可行计(3-5]分；售后服务方案简单空泛，可行性一般计[0-3]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供货服务方案</w:t>
            </w:r>
          </w:p>
        </w:tc>
      </w:tr>
      <w:tr>
        <w:tc>
          <w:tcPr>
            <w:tcW w:type="dxa" w:w="831"/>
            <w:vMerge/>
          </w:tcPr>
          <w:p/>
        </w:tc>
        <w:tc>
          <w:tcPr>
            <w:tcW w:type="dxa" w:w="1661"/>
          </w:tcPr>
          <w:p>
            <w:pPr>
              <w:pStyle w:val="null3"/>
            </w:pPr>
            <w:r>
              <w:rPr/>
              <w:t>培训方案</w:t>
            </w:r>
          </w:p>
        </w:tc>
        <w:tc>
          <w:tcPr>
            <w:tcW w:type="dxa" w:w="2492"/>
          </w:tcPr>
          <w:p>
            <w:pPr>
              <w:pStyle w:val="null3"/>
            </w:pPr>
            <w:r>
              <w:rPr/>
              <w:t>针对本项目提供技术指导及培训，并在投标文件中列出指导及培训的内容及方式，确保使用人员能够安全使用。培训方案完整、合理、有效计(3-5]分；培训方案不够完整、可行性一般计[0-3]分。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供货服务方案</w:t>
            </w:r>
          </w:p>
        </w:tc>
      </w:tr>
      <w:tr>
        <w:tc>
          <w:tcPr>
            <w:tcW w:type="dxa" w:w="831"/>
            <w:vMerge/>
          </w:tcPr>
          <w:p/>
        </w:tc>
        <w:tc>
          <w:tcPr>
            <w:tcW w:type="dxa" w:w="1661"/>
          </w:tcPr>
          <w:p>
            <w:pPr>
              <w:pStyle w:val="null3"/>
            </w:pPr>
            <w:r>
              <w:rPr/>
              <w:t>业绩</w:t>
            </w:r>
          </w:p>
        </w:tc>
        <w:tc>
          <w:tcPr>
            <w:tcW w:type="dxa" w:w="2492"/>
          </w:tcPr>
          <w:p>
            <w:pPr>
              <w:pStyle w:val="null3"/>
            </w:pPr>
            <w:r>
              <w:rPr/>
              <w:t>提供投标人的2021年1月1日至今已完成的同类项目（采购合同须体现与本次采购相同的设备）业绩，业绩以合同签订时间为准，每提供一份计2分，满分4分。 （注：投标文件中提供合同复印件加盖投标人公章。）</w:t>
            </w:r>
          </w:p>
        </w:tc>
        <w:tc>
          <w:tcPr>
            <w:tcW w:type="dxa" w:w="831"/>
          </w:tcPr>
          <w:p>
            <w:pPr>
              <w:pStyle w:val="null3"/>
              <w:jc w:val="right"/>
            </w:pPr>
            <w:r>
              <w:rPr/>
              <w:t>4.0000</w:t>
            </w:r>
          </w:p>
        </w:tc>
        <w:tc>
          <w:tcPr>
            <w:tcW w:type="dxa" w:w="831"/>
          </w:tcPr>
          <w:p>
            <w:pPr>
              <w:pStyle w:val="null3"/>
            </w:pPr>
            <w:r>
              <w:rPr/>
              <w:t>客观</w:t>
            </w:r>
          </w:p>
        </w:tc>
        <w:tc>
          <w:tcPr>
            <w:tcW w:type="dxa" w:w="1661"/>
          </w:tcPr>
          <w:p>
            <w:pPr>
              <w:pStyle w:val="null3"/>
            </w:pPr>
            <w:r>
              <w:rPr/>
              <w:t>供货服务方案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满足招标文件要求且投标报价最低的投标人的价格为评标基准价，其价格分为满分。其他投标人的价格分统一按照下列公式计算：投标报价得分=（评标基准价/投标报价）×价格权值×100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p>
            <w:pPr>
              <w:pStyle w:val="null3"/>
            </w:pPr>
            <w:r>
              <w:rPr/>
              <w:t>开标一览表、分项报价表、节能环保、环境标志产品明细表、货物说明一览表</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详见附件：开标一览表、分项报价表、节能环保、环境标志产品明细表、货物说明一览表</w:t>
      </w:r>
    </w:p>
    <w:p>
      <w:pPr>
        <w:pStyle w:val="null3"/>
        <w:ind w:firstLine="960"/>
      </w:pPr>
      <w:r>
        <w:rPr/>
        <w:t>详见附件：偏差表</w:t>
      </w:r>
    </w:p>
    <w:p>
      <w:pPr>
        <w:pStyle w:val="null3"/>
        <w:ind w:firstLine="960"/>
      </w:pPr>
      <w:r>
        <w:rPr/>
        <w:t>详见附件：投标人承诺书</w:t>
      </w:r>
    </w:p>
    <w:p>
      <w:pPr>
        <w:pStyle w:val="null3"/>
        <w:ind w:firstLine="960"/>
      </w:pPr>
      <w:r>
        <w:rPr/>
        <w:t>详见附件：资格证明材料</w:t>
      </w:r>
    </w:p>
    <w:p>
      <w:pPr>
        <w:pStyle w:val="null3"/>
        <w:ind w:firstLine="960"/>
      </w:pPr>
      <w:r>
        <w:rPr/>
        <w:t>详见附件：供货服务方案</w:t>
      </w:r>
    </w:p>
    <w:p>
      <w:pPr>
        <w:pStyle w:val="null3"/>
        <w:ind w:firstLine="960"/>
      </w:pPr>
      <w:r>
        <w:rPr/>
        <w:t>详见附件：投标人认为有必要说明的其他资料</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