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版本号：HYZB2024007520250624002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2024年现代职业教育质量提升计划中职改善办学条件（中职业教育中心徐杨校区）建设项目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HYZB20240075</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2024年现代职业教育质量提升计划中职改善办学条件（中职业教育中心徐杨校区）建设项目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HYZB20240075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2024年现代职业教育质量提升计划中职改善办学条件（中职业教育中心徐杨校区）建设项目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校舍维修改造.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采购包1（2024年现代职业教育质量提升计划中职改善办学条件（中职业教育中心徐杨校区）建设项目）：属于专门面向中小企业采购。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2、财务状况报告：提供经审计的2023年度的财务报告或提交响应文件截止时间前六个月内其基本账户开户银行出具的资信证明；其他组织和自然人提供银行出具的资信证明或财务报表；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3、税收缴纳证明：提供投标截止时间前一年内的至少一个月的纳税证明或完税证明（任意税种），依法免税的单位应提供相关证明材料；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5、没有重大违法记录的书面声明：参加采购活动近三年内经营活动中无重大违法记录声明；</w:t>
      </w:r>
    </w:p>
    <w:p>
      <w:pPr>
        <w:pStyle w:val="null3"/>
      </w:pPr>
      <w:r>
        <w:rPr>
          <w:rFonts w:ascii="仿宋_GB2312" w:hAnsi="仿宋_GB2312" w:cs="仿宋_GB2312" w:eastAsia="仿宋_GB2312"/>
        </w:rPr>
        <w:t>6、设备和专业技术能力的承诺：提供具有履行合同所必须的设备和专业技术能力的承诺书；</w:t>
      </w:r>
    </w:p>
    <w:p>
      <w:pPr>
        <w:pStyle w:val="null3"/>
      </w:pPr>
      <w:r>
        <w:rPr>
          <w:rFonts w:ascii="仿宋_GB2312" w:hAnsi="仿宋_GB2312" w:cs="仿宋_GB2312" w:eastAsia="仿宋_GB2312"/>
        </w:rPr>
        <w:t>7、法人授权：法定代表人授权书（附法定代表人身份证复印件）及被授权人身份证（法定代表人直接参加磋商只须提供法定代表人身份证）；</w:t>
      </w:r>
    </w:p>
    <w:p>
      <w:pPr>
        <w:pStyle w:val="null3"/>
      </w:pPr>
      <w:r>
        <w:rPr>
          <w:rFonts w:ascii="仿宋_GB2312" w:hAnsi="仿宋_GB2312" w:cs="仿宋_GB2312" w:eastAsia="仿宋_GB2312"/>
        </w:rPr>
        <w:t>8、供应商资质：供应商须具备建筑工程施工总承包二级及以上资质；具有有效的安全生产许可证；</w:t>
      </w:r>
    </w:p>
    <w:p>
      <w:pPr>
        <w:pStyle w:val="null3"/>
      </w:pPr>
      <w:r>
        <w:rPr>
          <w:rFonts w:ascii="仿宋_GB2312" w:hAnsi="仿宋_GB2312" w:cs="仿宋_GB2312" w:eastAsia="仿宋_GB2312"/>
        </w:rPr>
        <w:t>9、项目经理：拟派项目经理须具备建筑工程专业二级及以上注册建造师资格，具备有效的安全生产考核合格证（B证）；且无在建项目（提供无在建项目承诺书）；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10、信誉：供应商不得为“信用中国”网站（www.creditchina.gov.cn）中列入失信被执行人和重大税收违法失信主体，不得为中国政府采购网（www.ccgp.gov.cn）政府采购严重违法失信行为记录名单中被财政部门禁止参加政府采购活动供应商；</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采购包1：1,659,515.71元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1,659,515.71</w:t>
      </w:r>
    </w:p>
    <w:p>
      <w:pPr>
        <w:pStyle w:val="null3"/>
      </w:pPr>
      <w:r>
        <w:rPr>
          <w:rFonts w:ascii="仿宋_GB2312" w:hAnsi="仿宋_GB2312" w:cs="仿宋_GB2312" w:eastAsia="仿宋_GB2312"/>
        </w:rPr>
        <w:t>采购包最高限价（元）: 1,659,515.71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2024年现代职业教育质量提升计划中职改善办学条件（中职业教育中心徐杨校区）建设项目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1,659,515.71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标的名称：2024年现代职业教育质量提升计划中职改善办学条件（中职业教育中心徐杨校区）建设项目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1"/>
              </w:rPr>
              <w:t>一、工程质量要求与验收依据</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）质量要求：中标人必须严格按照设计施工图纸及有关施工和验收规范进行施工，保证工程质量通过有关部门验收达到本工程的质量要求。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）验收方法：验收应按建筑工程适用的规范或标准及其他相关的规范和标准执行。</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）依据设计文件要求：本招标工程项目的材料、设备、施工必须达到下列现行中华人民共和国及省、市、行业的一切有关工程建设标准、法规、规范的要求。</w:t>
            </w:r>
          </w:p>
          <w:p>
            <w:pPr>
              <w:pStyle w:val="null3"/>
              <w:ind w:firstLine="482"/>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）如上述标准及规范要求与最新国家、省、市标准有出入者，则以最新标准为准。</w:t>
            </w:r>
          </w:p>
          <w:p>
            <w:pPr>
              <w:pStyle w:val="null3"/>
              <w:ind w:firstLine="482"/>
              <w:jc w:val="both"/>
            </w:pPr>
            <w:r>
              <w:rPr>
                <w:rFonts w:ascii="仿宋_GB2312" w:hAnsi="仿宋_GB2312" w:cs="仿宋_GB2312" w:eastAsia="仿宋_GB2312"/>
                <w:sz w:val="21"/>
              </w:rPr>
              <w:t>二、根据工程设计要求，该项工程项目的材料、施工除必须达到以上标准外，还应满足设计要求和业主在招标文件中的有关要求。</w:t>
            </w:r>
          </w:p>
          <w:p>
            <w:pPr>
              <w:pStyle w:val="null3"/>
              <w:ind w:firstLine="482"/>
              <w:jc w:val="both"/>
            </w:pPr>
            <w:r>
              <w:rPr>
                <w:rFonts w:ascii="仿宋_GB2312" w:hAnsi="仿宋_GB2312" w:cs="仿宋_GB2312" w:eastAsia="仿宋_GB2312"/>
                <w:sz w:val="21"/>
              </w:rPr>
              <w:t>三、本工程所有主要材料必须符合设计要求及国家有关规定，有出厂合格证，经质检部门检验合格。</w:t>
            </w:r>
          </w:p>
          <w:p>
            <w:pPr>
              <w:pStyle w:val="null3"/>
              <w:ind w:firstLine="482"/>
              <w:jc w:val="both"/>
            </w:pPr>
            <w:r>
              <w:rPr>
                <w:rFonts w:ascii="仿宋_GB2312" w:hAnsi="仿宋_GB2312" w:cs="仿宋_GB2312" w:eastAsia="仿宋_GB2312"/>
                <w:sz w:val="21"/>
              </w:rPr>
              <w:t>四、未尽的工程质量技术要求均按现行国家、省、市有关规范和标准执行。</w:t>
            </w:r>
          </w:p>
          <w:p>
            <w:pPr>
              <w:pStyle w:val="null3"/>
              <w:ind w:firstLine="482"/>
              <w:jc w:val="both"/>
            </w:pPr>
            <w:r>
              <w:rPr>
                <w:rFonts w:ascii="仿宋_GB2312" w:hAnsi="仿宋_GB2312" w:cs="仿宋_GB2312" w:eastAsia="仿宋_GB2312"/>
                <w:sz w:val="21"/>
              </w:rPr>
              <w:t>五、工程量清单（另附）。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供应商工程质量须满足国家及行业现行相关技术规范标准。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1、本工程的磋商报价不得超过采购包最高限价要求。 2、供应商的报价，应是完成磋商文件所列磋商工程范围及工期、质量的全部，供应商不得以任何理由进行删改。 3、本工程的施工地点为本须知前附表所述，除非合同中另有规定，供应商在报价中所报的综合单价和合价，以及磋商总价中的价格均包括完成该工程项目的成本﹑利润﹑税金 ﹑技术措施费﹑大型机械进出场费﹑约定风险调整范围以外的风险费﹑政策性文件规定费用等一切因本项目而产生的所有费用。 4、供应商应自行到施工地点踏勘以充分了解工地位置﹑情况﹑道路﹑储存空间﹑装卸限制及任何其他足以影响承包价的情况，任何因忽视或误解工地情况而导致的索赔或工期延长申请将不被批准。 5、供应商应充分踏勘现场，如果认为有必要可向采购人索要地质勘察资料，充分了解现场情况进行报价，中标后不再因为不了解现场情况而予以调整报价。 6、施工现场水电费的计取：水表、电表由成交供应商提供并负责安装，磋商报价时水电费价格由供应商自主报价。工程结算时采购人不承担由于水、电费涨价而产生的差价。 7、认质认价材料的差价在工程结算时除安全文明施工费、规费及税金外不计取其他任何费用。 8、当投供应商承诺的工期少于磋商要求的工期，或承诺的工程质量等级高于磋商要求时，供应商应将因此所增加的所有费用列入投标报价中，如未列入，采购人视同供应商报价中已包含此项费用。竣工验收时必须达到所承诺的工期和质量标准。若竣工验收时工程质量和工期未达到投标时承诺的质量标准和工期，视同供应商违约。 9、最终合同金额以审计结论为准。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设备和专业技术能力的承诺</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 标的清单 供应商应提交的相关资格证明材料 响应函 监狱企业的证明文件 技术商务要求响应表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合理、可行、准确、完善、可操作性强，保证措施可靠计0-12分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全面、完整、周到、组织措施得力计0-6分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安全生产计划全面周到、完善、环节控制保障措施得力计0-6分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全面、完善、周到、环节控制保障措施得力计0-6分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合理、可行、准确、完整、可操作性强，保证措施可靠计0-6分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提供完善、合理、专业的团队人员，根据供应商提供人员的有效证件等证明材料计0-6分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拟投入的主要机具、设备充分、满足项目需要计0-6分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拟投入劳动力充分、满足项目需要计0-6分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提供2022年1月至今承接过类似的项目业绩，每提供一份得2分，最高得10分；没有提供不得分。（业绩需提供项目中标通知书或施工合同盖章复印件）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根据供应商为保证工程质量所做的承诺及配套服务（包括但不限于具体的服务内容、响应时间、响应方式、响应计划、服务承诺等）进行综合比较计0-6分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技术商务要求响应表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详见附件：技术商务要求响应表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