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交口街道耕地质量保护与提升项目(二次)</w:t>
      </w:r>
    </w:p>
    <w:p>
      <w:pPr>
        <w:pStyle w:val="null3"/>
        <w:jc w:val="center"/>
        <w:outlineLvl w:val="2"/>
      </w:pPr>
      <w:r>
        <w:rPr>
          <w:sz w:val="28"/>
          <w:b/>
        </w:rPr>
        <w:t>采购项目编号：</w:t>
      </w:r>
      <w:r>
        <w:rPr>
          <w:sz w:val="28"/>
          <w:b/>
        </w:rPr>
        <w:t>HYZB20240072.1B1</w:t>
      </w:r>
      <w:r>
        <w:br/>
      </w:r>
      <w:r>
        <w:br/>
      </w:r>
      <w:r>
        <w:br/>
      </w:r>
    </w:p>
    <w:p>
      <w:pPr>
        <w:pStyle w:val="null3"/>
        <w:jc w:val="center"/>
        <w:outlineLvl w:val="2"/>
      </w:pPr>
      <w:r>
        <w:rPr>
          <w:sz w:val="28"/>
          <w:b/>
        </w:rPr>
        <w:t>西安市临潼区交口街道办事处</w:t>
      </w:r>
    </w:p>
    <w:p>
      <w:pPr>
        <w:pStyle w:val="null3"/>
        <w:jc w:val="center"/>
        <w:outlineLvl w:val="2"/>
      </w:pPr>
      <w:r>
        <w:rPr>
          <w:sz w:val="28"/>
          <w:b/>
        </w:rPr>
        <w:t>陕西华洋项目管理有限公司</w:t>
      </w:r>
      <w:r>
        <w:rPr>
          <w:sz w:val="28"/>
          <w:b/>
        </w:rPr>
        <w:t>共同编制</w:t>
      </w:r>
    </w:p>
    <w:p>
      <w:pPr>
        <w:pStyle w:val="null3"/>
        <w:jc w:val="center"/>
        <w:outlineLvl w:val="2"/>
      </w:pPr>
      <w:r>
        <w:rPr>
          <w:sz w:val="28"/>
          <w:b/>
        </w:rPr>
        <w:t>2025年01月10日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陕西华洋项目管理有限公司</w:t>
      </w:r>
      <w:r>
        <w:rPr/>
        <w:t>（以下简称“代理机构”）受</w:t>
      </w:r>
      <w:r>
        <w:rPr/>
        <w:t>西安市临潼区交口街道办事处</w:t>
      </w:r>
      <w:r>
        <w:rPr/>
        <w:t>委托，拟对</w:t>
      </w:r>
      <w:r>
        <w:rPr/>
        <w:t>交口街道耕地质量保护与提升项目(二次)</w:t>
      </w:r>
      <w:r>
        <w:rPr/>
        <w:t>采用竞争性磋商采购方式进行采购，兹邀请供应商参加本项目的竞争性磋商。</w:t>
      </w:r>
    </w:p>
    <w:p>
      <w:pPr>
        <w:pStyle w:val="null3"/>
        <w:outlineLvl w:val="2"/>
      </w:pPr>
      <w:r>
        <w:rPr>
          <w:sz w:val="28"/>
          <w:b/>
        </w:rPr>
        <w:t>一、采购项目编号：</w:t>
      </w:r>
      <w:r>
        <w:rPr>
          <w:sz w:val="28"/>
          <w:b/>
        </w:rPr>
        <w:t>HYZB20240072.1B1</w:t>
      </w:r>
    </w:p>
    <w:p>
      <w:pPr>
        <w:pStyle w:val="null3"/>
        <w:outlineLvl w:val="2"/>
      </w:pPr>
      <w:r>
        <w:rPr>
          <w:sz w:val="28"/>
          <w:b/>
        </w:rPr>
        <w:t>二、采购项目名称：</w:t>
      </w:r>
      <w:r>
        <w:rPr>
          <w:sz w:val="28"/>
          <w:b/>
        </w:rPr>
        <w:t>交口街道耕地质量保护与提升项目(二次)</w:t>
      </w:r>
    </w:p>
    <w:p>
      <w:pPr>
        <w:pStyle w:val="null3"/>
        <w:outlineLvl w:val="2"/>
      </w:pPr>
      <w:r>
        <w:rPr>
          <w:sz w:val="28"/>
          <w:b/>
        </w:rPr>
        <w:t>三、磋商项目简介</w:t>
      </w:r>
    </w:p>
    <w:p>
      <w:pPr>
        <w:pStyle w:val="null3"/>
        <w:ind w:firstLine="480"/>
      </w:pPr>
      <w:r>
        <w:rPr/>
        <w:t>通过秸秆还田对增加土壤有机质，改良土壤结构，提高土壤质量起到重要作用；疏浚水渠干沟，对农田进行整理，清除杂草、疏通排水沟等，提高农田利用率；改善道路质量为群众生产生活提供更多便利。通过积极改造农田，改善农田土壤质量，增加农田面积，提高农田利用率，增加农田肥力，促进农业生产的可持续发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采购包1（交口街道耕地质量保护与提升项目）：属于专门面向中小企业采购。</w:t>
      </w:r>
    </w:p>
    <w:p>
      <w:pPr>
        <w:pStyle w:val="null3"/>
        <w:ind w:firstLine="480"/>
      </w:pPr>
      <w:r>
        <w:rPr/>
        <w:t>（三）本项目的特定资格要求：</w:t>
      </w:r>
    </w:p>
    <w:p>
      <w:pPr>
        <w:pStyle w:val="null3"/>
      </w:pPr>
      <w:r>
        <w:rPr/>
        <w:t>采购包1：</w:t>
      </w:r>
    </w:p>
    <w:p>
      <w:pPr>
        <w:pStyle w:val="null3"/>
      </w:pPr>
      <w:r>
        <w:rPr/>
        <w:t>1、营业执照： 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t>2、法定代表人授权委托书：提供法定代表人授权委托书及委托代理人有效身份证原件，法定代表人直接参加开标会议，需提供法定代表人身份证明及其有效的身份证原件；</w:t>
      </w:r>
    </w:p>
    <w:p>
      <w:pPr>
        <w:pStyle w:val="null3"/>
      </w:pPr>
      <w:r>
        <w:rPr/>
        <w:t>3、财务状况报告：提供2023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t>4、税收缴纳证明：提供投标截止时间前一年内至少一个月的纳税证明或完税证明；依法免税的单位应提供相关证明材料；</w:t>
      </w:r>
    </w:p>
    <w:p>
      <w:pPr>
        <w:pStyle w:val="null3"/>
      </w:pPr>
      <w:r>
        <w:rPr/>
        <w:t>5、社会保障资金缴纳证明：提供投标截止时间前一年内至少一个月的社保缴费凭据或社保机构开具的社会保险参保缴费情况证明；依法不需要缴纳社会保障资金的单位应提供相关证明材料；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t>6、供应商资质：须具备建设行政主管部门颁发的建筑工程施工总承包二级及以上资质；具有建设行政主管部门颁发的安全生产许可证；</w:t>
      </w:r>
    </w:p>
    <w:p>
      <w:pPr>
        <w:pStyle w:val="null3"/>
      </w:pPr>
      <w:r>
        <w:rPr/>
        <w:t>7、项目经理：拟派项目经理须具备建筑工程专业二级及以上注册建造师资格，具备有效的安全生产考核合格证（B证）；且无在建项目（提供无在建项目承诺书）；</w:t>
      </w:r>
    </w:p>
    <w:p>
      <w:pPr>
        <w:pStyle w:val="null3"/>
      </w:pPr>
      <w:r>
        <w:rPr/>
        <w:t>8、信誉：供应商不得为“信用中国”网站（www.creditchina.gov.cn）中列入失信被执行人和重大税收违法失信主体，不得为中国政府采购网（www.ccgp.gov.cn）政府采购严重违法失信行为记录名单中被财政部门禁止参加政府采购活动供应商；（提供查询结果网页截图并加盖供应商公章）；</w:t>
      </w:r>
    </w:p>
    <w:p>
      <w:pPr>
        <w:pStyle w:val="null3"/>
      </w:pPr>
      <w:r>
        <w:rPr/>
        <w:t>9、单位控股：单位负责人为同一人或者存在直接控股、管理关系的不同供应商，不得同时参加本项目的投标(需提供书面说明)；</w:t>
      </w:r>
    </w:p>
    <w:p>
      <w:pPr>
        <w:pStyle w:val="null3"/>
      </w:pPr>
      <w:r>
        <w:rPr/>
        <w:t>10、没有重大违法记录的书面声明：参加政府采购活动前3年内在经营活动中没有重大违法记录的书面声明；</w:t>
      </w:r>
    </w:p>
    <w:p>
      <w:pPr>
        <w:pStyle w:val="null3"/>
      </w:pPr>
      <w:r>
        <w:rPr/>
        <w:t>11、设备和专业技术能力的承诺：提供具有履行合同所必须的设备和专业技术能力的承诺书；</w:t>
      </w:r>
    </w:p>
    <w:p>
      <w:pPr>
        <w:pStyle w:val="null3"/>
      </w:pPr>
      <w:r>
        <w:rPr/>
        <w:t>12、联合体：本项目不接受联合体磋商，提供非联合体投标声明。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西安市临潼区交口街道办事处</w:t>
      </w:r>
    </w:p>
    <w:p>
      <w:pPr>
        <w:pStyle w:val="null3"/>
      </w:pPr>
      <w:r>
        <w:rPr/>
        <w:t xml:space="preserve"> 地址： </w:t>
      </w:r>
      <w:r>
        <w:rPr/>
        <w:t>临潼区交口街道</w:t>
      </w:r>
    </w:p>
    <w:p>
      <w:pPr>
        <w:pStyle w:val="null3"/>
      </w:pPr>
      <w:r>
        <w:rPr/>
        <w:t xml:space="preserve"> 邮编： </w:t>
      </w:r>
      <w:r>
        <w:rPr/>
        <w:t>710600</w:t>
      </w:r>
    </w:p>
    <w:p>
      <w:pPr>
        <w:pStyle w:val="null3"/>
      </w:pPr>
      <w:r>
        <w:rPr/>
        <w:t xml:space="preserve"> 联系人： </w:t>
      </w:r>
      <w:r>
        <w:rPr/>
        <w:t>马科长</w:t>
      </w:r>
    </w:p>
    <w:p>
      <w:pPr>
        <w:pStyle w:val="null3"/>
      </w:pPr>
      <w:r>
        <w:rPr/>
        <w:t xml:space="preserve"> 联系电话： </w:t>
      </w:r>
      <w:r>
        <w:rPr/>
        <w:t>029-83985164</w:t>
      </w:r>
    </w:p>
    <w:p>
      <w:pPr>
        <w:pStyle w:val="null3"/>
        <w:outlineLvl w:val="3"/>
      </w:pPr>
      <w:r>
        <w:rPr>
          <w:sz w:val="24"/>
          <w:b/>
        </w:rPr>
        <w:t>代理机构：</w:t>
      </w:r>
      <w:r>
        <w:rPr>
          <w:sz w:val="24"/>
          <w:b/>
        </w:rPr>
        <w:t>陕西华洋项目管理有限公司</w:t>
      </w:r>
    </w:p>
    <w:p>
      <w:pPr>
        <w:pStyle w:val="null3"/>
      </w:pPr>
      <w:r>
        <w:rPr/>
        <w:t xml:space="preserve"> 地址： </w:t>
      </w:r>
      <w:r>
        <w:rPr/>
        <w:t>陕西省西安市临潼区文化西路37号</w:t>
      </w:r>
    </w:p>
    <w:p>
      <w:pPr>
        <w:pStyle w:val="null3"/>
      </w:pPr>
      <w:r>
        <w:rPr/>
        <w:t xml:space="preserve"> 邮编： </w:t>
      </w:r>
      <w:r>
        <w:rPr/>
        <w:t>710600</w:t>
      </w:r>
    </w:p>
    <w:p>
      <w:pPr>
        <w:pStyle w:val="null3"/>
      </w:pPr>
      <w:r>
        <w:rPr/>
        <w:t xml:space="preserve"> 联系人： </w:t>
      </w:r>
      <w:r>
        <w:rPr/>
        <w:t>唐工</w:t>
      </w:r>
    </w:p>
    <w:p>
      <w:pPr>
        <w:pStyle w:val="null3"/>
      </w:pPr>
      <w:r>
        <w:rPr/>
        <w:t xml:space="preserve"> 联系电话： </w:t>
      </w:r>
      <w:r>
        <w:rPr/>
        <w:t>029-83875110</w:t>
      </w:r>
    </w:p>
    <w:p>
      <w:pPr>
        <w:pStyle w:val="null3"/>
        <w:outlineLvl w:val="3"/>
      </w:pPr>
      <w:r>
        <w:rPr>
          <w:sz w:val="24"/>
          <w:b/>
        </w:rPr>
        <w:t>采购监督机构：</w:t>
      </w:r>
      <w:r>
        <w:rPr>
          <w:sz w:val="24"/>
          <w:b/>
        </w:rPr>
        <w:t>西安市临潼区政府采购管理股</w:t>
      </w:r>
    </w:p>
    <w:p>
      <w:pPr>
        <w:pStyle w:val="null3"/>
        <w:ind w:firstLine="480"/>
      </w:pPr>
      <w:r>
        <w:rPr/>
        <w:t>联系人：</w:t>
      </w:r>
      <w:r>
        <w:rPr/>
        <w:t>马明</w:t>
      </w:r>
    </w:p>
    <w:p>
      <w:pPr>
        <w:pStyle w:val="null3"/>
        <w:ind w:firstLine="480"/>
      </w:pPr>
      <w:r>
        <w:rPr/>
        <w:t>联系电话：</w:t>
      </w:r>
      <w:r>
        <w:rPr/>
        <w:t>029-83825758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采购包1：862,000.00元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2002年颁发的《招标代理服务收费管理暂行办法》(计价格〔2002〕1980号)及国家发改委2011年颁布的《国家发展改革委关于降低部分建设项目收费标准规范收费行为等有关问题的通知》（发改价格[2011]534号向招标代理机构一次支付采购代理服务费；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西安市临潼区交口街道办事处</w:t>
      </w:r>
      <w:r>
        <w:rPr/>
        <w:t>和</w:t>
      </w:r>
      <w:r>
        <w:rPr/>
        <w:t>陕西华洋项目管理有限公司</w:t>
      </w:r>
      <w:r>
        <w:rPr/>
        <w:t>享有。对磋商文件中供应商参加本次政府采购活动应当具备的条件，磋商项目技术、服务、商务及其他要求，评审细则及标准由</w:t>
      </w:r>
      <w:r>
        <w:rPr/>
        <w:t>西安市临潼区交口街道办事处</w:t>
      </w:r>
      <w:r>
        <w:rPr/>
        <w:t>负责解释。除上述磋商文件内容，其他内容由</w:t>
      </w:r>
      <w:r>
        <w:rPr/>
        <w:t>陕西华洋项目管理有限公司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西安市临潼区交口街道办事处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保证工程质量通过有关部门验收，达到国家相关行业的质量标准。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陕西华洋项目管理有限公司</w:t>
      </w:r>
      <w:r>
        <w:rPr/>
        <w:t xml:space="preserve"> 负责答复；供应商对采购过程的询问、质疑由</w:t>
      </w:r>
      <w:r>
        <w:rPr/>
        <w:t>陕西华洋项目管理有限公司</w:t>
      </w:r>
      <w:r>
        <w:rPr/>
        <w:t xml:space="preserve"> 负责答复；供应商对采购结果的询问、质疑由 </w:t>
      </w:r>
      <w:r>
        <w:rPr/>
        <w:t>陕西华洋项目管理有限公司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联系人：唐工</w:t>
      </w:r>
    </w:p>
    <w:p>
      <w:pPr>
        <w:pStyle w:val="null3"/>
      </w:pPr>
      <w:r>
        <w:rPr/>
        <w:t>联系电话：029-83875110</w:t>
      </w:r>
    </w:p>
    <w:p>
      <w:pPr>
        <w:pStyle w:val="null3"/>
      </w:pPr>
      <w:r>
        <w:rPr/>
        <w:t>地址：陕西省西安市临潼区文化西路37号</w:t>
      </w:r>
    </w:p>
    <w:p>
      <w:pPr>
        <w:pStyle w:val="null3"/>
      </w:pPr>
      <w:r>
        <w:rPr/>
        <w:t>邮编：710600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862,000.00</w:t>
      </w:r>
    </w:p>
    <w:p>
      <w:pPr>
        <w:pStyle w:val="null3"/>
      </w:pPr>
      <w:r>
        <w:rPr/>
        <w:t>采购包最高限价（元）: 862,000.00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交口街道耕地质量保护与提升项目</w:t>
            </w:r>
          </w:p>
        </w:tc>
        <w:tc>
          <w:tcPr>
            <w:tcW w:type="dxa" w:w="1384"/>
          </w:tcPr>
          <w:p>
            <w:pPr>
              <w:pStyle w:val="null3"/>
              <w:jc w:val="right"/>
            </w:pPr>
            <w:r>
              <w:rPr/>
              <w:t>1.00</w:t>
            </w:r>
          </w:p>
        </w:tc>
        <w:tc>
          <w:tcPr>
            <w:tcW w:type="dxa" w:w="1384"/>
          </w:tcPr>
          <w:p>
            <w:pPr>
              <w:pStyle w:val="null3"/>
              <w:jc w:val="right"/>
            </w:pPr>
            <w:r>
              <w:rPr/>
              <w:t>862,000.00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标的名称：交口街道耕地质量保护与提升项目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一、工程质量要求与验收依据</w:t>
            </w:r>
          </w:p>
          <w:p>
            <w:pPr>
              <w:pStyle w:val="null3"/>
            </w:pPr>
            <w:r>
              <w:rPr/>
              <w:t>（1）质量要求：中标人必须严格按照设计施工图纸及有关施工和验收规范进行施工，保证工程质量通过有关部门验收，达到国家相关行业的质量标准。</w:t>
            </w:r>
          </w:p>
          <w:p>
            <w:pPr>
              <w:pStyle w:val="null3"/>
            </w:pPr>
            <w:r>
              <w:rPr/>
              <w:t>（2）验收方法：验收应按建筑工程适用的规范或标准及其他相关的规范和标准执行。</w:t>
            </w:r>
          </w:p>
          <w:p>
            <w:pPr>
              <w:pStyle w:val="null3"/>
            </w:pPr>
            <w:r>
              <w:rPr/>
              <w:t>（3）依据设计文件要求：本招标工程项目的材料、设备、施工必须达到下列现行中华人民共和国及省、市、行业的一切有关工程建设标准、法规、规范的要求。</w:t>
            </w:r>
          </w:p>
          <w:p>
            <w:pPr>
              <w:pStyle w:val="null3"/>
            </w:pPr>
            <w:r>
              <w:rPr/>
              <w:t>（4）如上述标准及规范要求与最新国家、省、市标准有出入者，则以最新标准为准。</w:t>
            </w:r>
          </w:p>
          <w:p>
            <w:pPr>
              <w:pStyle w:val="null3"/>
            </w:pPr>
            <w:r>
              <w:rPr/>
              <w:t>二、根据工程设计要求，该项工程项目的材料、施工除必须达到以上标准外，还应满足设计要求和业主在招标文件中的有关要求。</w:t>
            </w:r>
          </w:p>
          <w:p>
            <w:pPr>
              <w:pStyle w:val="null3"/>
            </w:pPr>
            <w:r>
              <w:rPr/>
              <w:t>三、本工程所有主要材料必须符合设计要求及国家有关规定，有出厂合格证，经质检部门检验合格。</w:t>
            </w:r>
          </w:p>
          <w:p>
            <w:pPr>
              <w:pStyle w:val="null3"/>
            </w:pPr>
            <w:r>
              <w:rPr/>
              <w:t>四、未尽的工程质量技术要求均按现行国家、省、市有关规范和标准执行。</w:t>
            </w:r>
          </w:p>
          <w:p>
            <w:pPr>
              <w:pStyle w:val="null3"/>
            </w:pPr>
            <w:r>
              <w:rPr/>
              <w:t>五、工程量清单（另附）。</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达到国家及行业现行技术规范标准，符合国家及行业验收合格标准。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 xml:space="preserve"> 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提供法定代表人授权委托书及委托代理人有效身份证原件，法定代表人直接参加开标会议，需提供法定代表人身份证明及其有效的身份证原件；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提供投标截止时间前一年内至少一个月的纳税证明或完税证明；依法免税的单位应提供相关证明材料；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供应商资质</w:t>
            </w:r>
          </w:p>
        </w:tc>
        <w:tc>
          <w:tcPr>
            <w:tcW w:type="dxa" w:w="3322"/>
          </w:tcPr>
          <w:p>
            <w:pPr>
              <w:pStyle w:val="null3"/>
            </w:pPr>
            <w:r>
              <w:rPr/>
              <w:t>须具备建设行政主管部门颁发的建筑工程施工总承包二级及以上资质；具有建设行政主管部门颁发的安全生产许可证；</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项目经理</w:t>
            </w:r>
          </w:p>
        </w:tc>
        <w:tc>
          <w:tcPr>
            <w:tcW w:type="dxa" w:w="3322"/>
          </w:tcPr>
          <w:p>
            <w:pPr>
              <w:pStyle w:val="null3"/>
            </w:pPr>
            <w:r>
              <w:rPr/>
              <w:t>拟派项目经理须具备建筑工程专业二级及以上注册建造师资格，具备有效的安全生产考核合格证（B证）；且无在建项目（提供无在建项目承诺书）；</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信誉</w:t>
            </w:r>
          </w:p>
        </w:tc>
        <w:tc>
          <w:tcPr>
            <w:tcW w:type="dxa" w:w="3322"/>
          </w:tcPr>
          <w:p>
            <w:pPr>
              <w:pStyle w:val="null3"/>
            </w:pPr>
            <w:r>
              <w:rPr/>
              <w:t>供应商不得为“信用中国”网站（www.creditchina.gov.cn）中列入失信被执行人和重大税收违法失信主体，不得为中国政府采购网（www.ccgp.gov.cn）政府采购严重违法失信行为记录名单中被财政部门禁止参加政府采购活动供应商；（提供查询结果网页截图并加盖供应商公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单位控股</w:t>
            </w:r>
          </w:p>
        </w:tc>
        <w:tc>
          <w:tcPr>
            <w:tcW w:type="dxa" w:w="3322"/>
          </w:tcPr>
          <w:p>
            <w:pPr>
              <w:pStyle w:val="null3"/>
            </w:pPr>
            <w:r>
              <w:rPr/>
              <w:t>单位负责人为同一人或者存在直接控股、管理关系的不同供应商，不得同时参加本项目的投标(需提供书面说明)；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设备和专业技术能力的承诺</w:t>
            </w:r>
          </w:p>
        </w:tc>
        <w:tc>
          <w:tcPr>
            <w:tcW w:type="dxa" w:w="3322"/>
          </w:tcPr>
          <w:p>
            <w:pPr>
              <w:pStyle w:val="null3"/>
            </w:pPr>
            <w:r>
              <w:rPr/>
              <w:t>提供具有履行合同所必须的设备和专业技术能力的承诺书；</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联合体</w:t>
            </w:r>
          </w:p>
        </w:tc>
        <w:tc>
          <w:tcPr>
            <w:tcW w:type="dxa" w:w="3322"/>
          </w:tcPr>
          <w:p>
            <w:pPr>
              <w:pStyle w:val="null3"/>
            </w:pPr>
            <w:r>
              <w:rPr/>
              <w:t>本项目不接受联合体磋商，提供非联合体投标声明。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响应文件</w:t>
            </w:r>
          </w:p>
        </w:tc>
        <w:tc>
          <w:tcPr>
            <w:tcW w:type="dxa" w:w="3322"/>
          </w:tcPr>
          <w:p>
            <w:pPr>
              <w:pStyle w:val="null3"/>
            </w:pPr>
            <w:r>
              <w:rPr/>
              <w:t>（1）投标文件项目名称、标段编号与磋商文件不一致，按无效文件处理； （2）供应商名称与营业执照、资质证书、安全生产许可证一致；</w:t>
            </w:r>
          </w:p>
        </w:tc>
        <w:tc>
          <w:tcPr>
            <w:tcW w:type="dxa" w:w="1661"/>
          </w:tcPr>
          <w:p>
            <w:pPr>
              <w:pStyle w:val="null3"/>
            </w:pPr>
            <w:r>
              <w:rPr/>
              <w:t>响应文件封面 已标价工程量清单 中小企业声明函 残疾人福利性单位声明函 报价函 技术方案 标的清单 供应商应提交的相关资格证明材料 技术服务合同条款及其他商务要求应答表 响应函 监狱企业的证明文件</w:t>
            </w:r>
          </w:p>
        </w:tc>
      </w:tr>
      <w:tr>
        <w:tc>
          <w:tcPr>
            <w:tcW w:type="dxa" w:w="831"/>
          </w:tcPr>
          <w:p>
            <w:pPr>
              <w:pStyle w:val="null3"/>
            </w:pPr>
            <w:r>
              <w:rPr/>
              <w:t>3</w:t>
            </w:r>
          </w:p>
        </w:tc>
        <w:tc>
          <w:tcPr>
            <w:tcW w:type="dxa" w:w="2492"/>
          </w:tcPr>
          <w:p>
            <w:pPr>
              <w:pStyle w:val="null3"/>
            </w:pPr>
            <w:r>
              <w:rPr/>
              <w:t>响应格式</w:t>
            </w:r>
          </w:p>
        </w:tc>
        <w:tc>
          <w:tcPr>
            <w:tcW w:type="dxa" w:w="3322"/>
          </w:tcPr>
          <w:p>
            <w:pPr>
              <w:pStyle w:val="null3"/>
            </w:pPr>
            <w:r>
              <w:rPr/>
              <w:t>符合“磋商文件格式”的要求；</w:t>
            </w:r>
          </w:p>
        </w:tc>
        <w:tc>
          <w:tcPr>
            <w:tcW w:type="dxa" w:w="1661"/>
          </w:tcPr>
          <w:p>
            <w:pPr>
              <w:pStyle w:val="null3"/>
            </w:pPr>
            <w:r>
              <w:rPr/>
              <w:t>响应文件封面 已标价工程量清单 中小企业声明函 残疾人福利性单位声明函 报价函 技术方案 标的清单 供应商应提交的相关资格证明材料 技术服务合同条款及其他商务要求应答表 响应函 监狱企业的证明文件</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投标文件无投标人公章、无法定代表人签字或签字人无法定代表人有效授权书的,按无效文件处理；</w:t>
            </w:r>
          </w:p>
        </w:tc>
        <w:tc>
          <w:tcPr>
            <w:tcW w:type="dxa" w:w="1661"/>
          </w:tcPr>
          <w:p>
            <w:pPr>
              <w:pStyle w:val="null3"/>
            </w:pPr>
            <w:r>
              <w:rPr/>
              <w:t>响应文件封面 已标价工程量清单 中小企业声明函 残疾人福利性单位声明函 报价函 技术方案 标的清单 供应商应提交的相关资格证明材料 技术服务合同条款及其他商务要求应答表 响应函 监狱企业的证明文件</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符合磋商文件要求；</w:t>
            </w:r>
          </w:p>
        </w:tc>
        <w:tc>
          <w:tcPr>
            <w:tcW w:type="dxa" w:w="1661"/>
          </w:tcPr>
          <w:p>
            <w:pPr>
              <w:pStyle w:val="null3"/>
            </w:pPr>
            <w:r>
              <w:rPr/>
              <w:t>响应文件封面 已标价工程量清单 中小企业声明函 残疾人福利性单位声明函 报价函 技术方案 标的清单 供应商应提交的相关资格证明材料 技术服务合同条款及其他商务要求应答表 响应函 监狱企业的证明文件</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同时满足以下条款: （1）磋商报价符合唯一性要求; （2）第一次磋商报价表填写符合要求; （3）报价货币符合磋商文件要求; （4）未超出采购预算或磋商文件规定的最高限价;</w:t>
            </w:r>
          </w:p>
        </w:tc>
        <w:tc>
          <w:tcPr>
            <w:tcW w:type="dxa" w:w="1661"/>
          </w:tcPr>
          <w:p>
            <w:pPr>
              <w:pStyle w:val="null3"/>
            </w:pPr>
            <w:r>
              <w:rPr/>
              <w:t>响应文件封面 已标价工程量清单 中小企业声明函 残疾人福利性单位声明函 报价函 技术方案 标的清单 供应商应提交的相关资格证明材料 技术服务合同条款及其他商务要求应答表 响应函 监狱企业的证明文件</w:t>
            </w:r>
          </w:p>
        </w:tc>
      </w:tr>
      <w:tr>
        <w:tc>
          <w:tcPr>
            <w:tcW w:type="dxa" w:w="831"/>
          </w:tcPr>
          <w:p>
            <w:pPr>
              <w:pStyle w:val="null3"/>
            </w:pPr>
            <w:r>
              <w:rPr/>
              <w:t>7</w:t>
            </w:r>
          </w:p>
        </w:tc>
        <w:tc>
          <w:tcPr>
            <w:tcW w:type="dxa" w:w="2492"/>
          </w:tcPr>
          <w:p>
            <w:pPr>
              <w:pStyle w:val="null3"/>
            </w:pPr>
            <w:r>
              <w:rPr/>
              <w:t>工期</w:t>
            </w:r>
          </w:p>
        </w:tc>
        <w:tc>
          <w:tcPr>
            <w:tcW w:type="dxa" w:w="3322"/>
          </w:tcPr>
          <w:p>
            <w:pPr>
              <w:pStyle w:val="null3"/>
            </w:pPr>
            <w:r>
              <w:rPr/>
              <w:t>应满足磋商文件要求；</w:t>
            </w:r>
          </w:p>
        </w:tc>
        <w:tc>
          <w:tcPr>
            <w:tcW w:type="dxa" w:w="1661"/>
          </w:tcPr>
          <w:p>
            <w:pPr>
              <w:pStyle w:val="null3"/>
            </w:pPr>
            <w:r>
              <w:rPr/>
              <w:t>响应文件封面 已标价工程量清单 中小企业声明函 残疾人福利性单位声明函 报价函 技术方案 标的清单 供应商应提交的相关资格证明材料 技术服务合同条款及其他商务要求应答表 响应函 监狱企业的证明文件</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完全理解并接受法律法规和磋商文件对供应商的各项须知、规约要求和责任义务，没有出现法律法规磋商文件明确规定的其他被视为“无效响应”的情形。</w:t>
            </w:r>
          </w:p>
        </w:tc>
        <w:tc>
          <w:tcPr>
            <w:tcW w:type="dxa" w:w="1661"/>
          </w:tcPr>
          <w:p>
            <w:pPr>
              <w:pStyle w:val="null3"/>
            </w:pPr>
            <w:r>
              <w:rPr/>
              <w:t>响应文件封面 已标价工程量清单 中小企业声明函 残疾人福利性单位声明函 报价函 技术方案 标的清单 供应商应提交的相关资格证明材料 技术服务合同条款及其他商务要求应答表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方案总体思路清晰、合理、可操作性强、可执行程度强，且能很好推动项目实施得6～9（含）分； 方案总体思路基本明确、可行性、合理性高得3～6(含)分； 方案思路模糊、可行性、合理性一般得0～3(含)分；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tc>
      </w:tr>
      <w:tr>
        <w:tc>
          <w:tcPr>
            <w:tcW w:type="dxa" w:w="831"/>
            <w:vMerge/>
          </w:tcPr>
          <w:p/>
        </w:tc>
        <w:tc>
          <w:tcPr>
            <w:tcW w:type="dxa" w:w="1661"/>
          </w:tcPr>
          <w:p>
            <w:pPr>
              <w:pStyle w:val="null3"/>
            </w:pPr>
            <w:r>
              <w:rPr/>
              <w:t>项目经理部组成及劳动力投入</w:t>
            </w:r>
          </w:p>
        </w:tc>
        <w:tc>
          <w:tcPr>
            <w:tcW w:type="dxa" w:w="2492"/>
          </w:tcPr>
          <w:p>
            <w:pPr>
              <w:pStyle w:val="null3"/>
            </w:pPr>
            <w:r>
              <w:rPr/>
              <w:t>组成计划全面、完整、周到得力计0-4分；项目经理部人员搭配合理，数量充足，经验丰富计0-4分。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措施内容科学可行、有针对性且内容详细计4～8（含）分；措施内容较为可行、针对性不强、内容简单计0～4（含）分；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措施内容科学可行、有针对性且内容详细计4～8（含）分； 措施内容较为可行、针对性不强、内容简单计0～4（含）分；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措施内容科学可行、有针对性且内容详细计4～8（含）分；措施内容较为可行、针对性不强、内容简单计0～4（含）分，本项满分8分；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tc>
      </w:tr>
      <w:tr>
        <w:tc>
          <w:tcPr>
            <w:tcW w:type="dxa" w:w="831"/>
            <w:vMerge/>
          </w:tcPr>
          <w:p/>
        </w:tc>
        <w:tc>
          <w:tcPr>
            <w:tcW w:type="dxa" w:w="1661"/>
          </w:tcPr>
          <w:p>
            <w:pPr>
              <w:pStyle w:val="null3"/>
            </w:pPr>
            <w:r>
              <w:rPr/>
              <w:t>确保工期的技术组织措施</w:t>
            </w:r>
          </w:p>
        </w:tc>
        <w:tc>
          <w:tcPr>
            <w:tcW w:type="dxa" w:w="2492"/>
          </w:tcPr>
          <w:p>
            <w:pPr>
              <w:pStyle w:val="null3"/>
            </w:pPr>
            <w:r>
              <w:rPr/>
              <w:t>措施内容科学可行、有针对性且内容详细计4～8（含）分；措施内容较为可行、针对性不强、内容简单计0～4（含）分；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tc>
      </w:tr>
      <w:tr>
        <w:tc>
          <w:tcPr>
            <w:tcW w:type="dxa" w:w="831"/>
            <w:vMerge/>
          </w:tcPr>
          <w:p/>
        </w:tc>
        <w:tc>
          <w:tcPr>
            <w:tcW w:type="dxa" w:w="1661"/>
          </w:tcPr>
          <w:p>
            <w:pPr>
              <w:pStyle w:val="null3"/>
            </w:pPr>
            <w:r>
              <w:rPr/>
              <w:t>施工机械设备和材料投入计划</w:t>
            </w:r>
          </w:p>
        </w:tc>
        <w:tc>
          <w:tcPr>
            <w:tcW w:type="dxa" w:w="2492"/>
          </w:tcPr>
          <w:p>
            <w:pPr>
              <w:pStyle w:val="null3"/>
            </w:pPr>
            <w:r>
              <w:rPr/>
              <w:t>安排合理、完整计4～8（含）分； 机械、设备安排简单计0～4（含）分；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tc>
      </w:tr>
      <w:tr>
        <w:tc>
          <w:tcPr>
            <w:tcW w:type="dxa" w:w="831"/>
            <w:vMerge/>
          </w:tcPr>
          <w:p/>
        </w:tc>
        <w:tc>
          <w:tcPr>
            <w:tcW w:type="dxa" w:w="1661"/>
          </w:tcPr>
          <w:p>
            <w:pPr>
              <w:pStyle w:val="null3"/>
            </w:pPr>
            <w:r>
              <w:rPr/>
              <w:t>施工进度表或施工网络图</w:t>
            </w:r>
          </w:p>
        </w:tc>
        <w:tc>
          <w:tcPr>
            <w:tcW w:type="dxa" w:w="2492"/>
          </w:tcPr>
          <w:p>
            <w:pPr>
              <w:pStyle w:val="null3"/>
            </w:pPr>
            <w:r>
              <w:rPr/>
              <w:t>进度表或网络图结构清晰、安排科学合理计2～3（含）分； 进度表或网络图结构基本清晰、安排合理计1～2（含）分，未提供不计分;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tc>
      </w:tr>
      <w:tr>
        <w:tc>
          <w:tcPr>
            <w:tcW w:type="dxa" w:w="831"/>
            <w:vMerge/>
          </w:tcPr>
          <w:p/>
        </w:tc>
        <w:tc>
          <w:tcPr>
            <w:tcW w:type="dxa" w:w="1661"/>
          </w:tcPr>
          <w:p>
            <w:pPr>
              <w:pStyle w:val="null3"/>
            </w:pPr>
            <w:r>
              <w:rPr/>
              <w:t>施工承诺</w:t>
            </w:r>
          </w:p>
        </w:tc>
        <w:tc>
          <w:tcPr>
            <w:tcW w:type="dxa" w:w="2492"/>
          </w:tcPr>
          <w:p>
            <w:pPr>
              <w:pStyle w:val="null3"/>
            </w:pPr>
            <w:r>
              <w:rPr/>
              <w:t>根据供应商为保证工程质量所做的承诺及配套服务（包括但不限于具体的服务内容、响应时间、响应方式、响应计划、服务承诺等）进行综合比较；缺项得0分;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tc>
      </w:tr>
      <w:tr>
        <w:tc>
          <w:tcPr>
            <w:tcW w:type="dxa" w:w="831"/>
            <w:vMerge/>
          </w:tcPr>
          <w:p/>
        </w:tc>
        <w:tc>
          <w:tcPr>
            <w:tcW w:type="dxa" w:w="1661"/>
          </w:tcPr>
          <w:p>
            <w:pPr>
              <w:pStyle w:val="null3"/>
            </w:pPr>
            <w:r>
              <w:rPr/>
              <w:t>业绩</w:t>
            </w:r>
          </w:p>
        </w:tc>
        <w:tc>
          <w:tcPr>
            <w:tcW w:type="dxa" w:w="2492"/>
          </w:tcPr>
          <w:p>
            <w:pPr>
              <w:pStyle w:val="null3"/>
            </w:pPr>
            <w:r>
              <w:rPr/>
              <w:t>以合同的形式提供供应商自2021年12月01日至今的项目业绩，每提供一份计2分，计满6分为止（业绩证明材料以项目中标通知书和合同为准）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技术方案</w:t>
            </w:r>
          </w:p>
          <w:p>
            <w:pPr>
              <w:pStyle w:val="null3"/>
            </w:pPr>
            <w:r>
              <w:rPr/>
              <w:t>技术服务合同条款及其他商务要求应答表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响应函</w:t>
            </w:r>
          </w:p>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详见附件：供应商应提交的相关资格证明材料</w:t>
      </w:r>
    </w:p>
    <w:p>
      <w:pPr>
        <w:pStyle w:val="null3"/>
        <w:ind w:firstLine="960"/>
      </w:pPr>
      <w:r>
        <w:rPr/>
        <w:t>详见附件：技术方案</w:t>
      </w:r>
    </w:p>
    <w:p>
      <w:pPr>
        <w:pStyle w:val="null3"/>
        <w:ind w:firstLine="960"/>
      </w:pPr>
      <w:r>
        <w:rPr/>
        <w:t>详见附件：技术服务合同条款及其他商务要求应答表</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详见附件：陕西省建设工程施工合同.docx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