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版本号：ZB2025-ZB019（CGA）20251011001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综合门诊楼外围辅助工程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ZB2025-ZB019（CGA）</w:t>
      </w:r>
      <w:r>
        <w:br/>
      </w:r>
      <w:r>
        <w:br/>
      </w:r>
      <w:r>
        <w:br/>
      </w:r>
    </w:p>
    <w:p>
      <w:pPr>
        <w:pStyle w:val="null3"/>
        <w:jc w:val="center"/>
        <w:outlineLvl w:val="2"/>
      </w:pPr>
      <w:r>
        <w:rPr>
          <w:rFonts w:ascii="仿宋_GB2312" w:hAnsi="仿宋_GB2312" w:cs="仿宋_GB2312" w:eastAsia="仿宋_GB2312"/>
          <w:sz w:val="28"/>
          <w:b/>
        </w:rPr>
        <w:t>西安市临潼区人民医院</w:t>
      </w:r>
    </w:p>
    <w:p>
      <w:pPr>
        <w:pStyle w:val="null3"/>
        <w:jc w:val="center"/>
        <w:outlineLvl w:val="2"/>
      </w:pPr>
      <w:r>
        <w:rPr>
          <w:rFonts w:ascii="仿宋_GB2312" w:hAnsi="仿宋_GB2312" w:cs="仿宋_GB2312" w:eastAsia="仿宋_GB2312"/>
          <w:sz w:val="28"/>
          <w:b/>
        </w:rPr>
        <w:t>西安梓搏咨询管理有限公司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西安梓搏咨询管理有限公司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西安市临潼区人民医院</w:t>
      </w:r>
      <w:r>
        <w:rPr>
          <w:rFonts w:ascii="仿宋_GB2312" w:hAnsi="仿宋_GB2312" w:cs="仿宋_GB2312" w:eastAsia="仿宋_GB2312"/>
        </w:rPr>
        <w:t>委托，拟对</w:t>
      </w:r>
      <w:r>
        <w:rPr>
          <w:rFonts w:ascii="仿宋_GB2312" w:hAnsi="仿宋_GB2312" w:cs="仿宋_GB2312" w:eastAsia="仿宋_GB2312"/>
        </w:rPr>
        <w:t>综合门诊楼外围辅助工程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ZB2025-ZB019（CGA）</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综合门诊楼外围辅助工程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位于西安市临潼区人民医院院内，改造范围占地面积约990㎡，工程内容主要有：①（综合门诊楼四周雨水收集及排污施工）：新做U型成品线性排水沟、砖砌U型排水沟、新做砖砌检查井、单篦雨水口、C3型混凝土室外管沟、缝隙式边沟、现场浇筑U型边沟及排水管道敷设；②（1综合门诊楼外围混凝土挡墙。2综合门诊楼外围路面硬化及消防电缆管沟改造）：原综合楼外围新增混凝土挡墙，总长72.1m，现有挡墙与新增混凝土挡墙之间用1:9水泥土填充、挡墙上方做栏杆；拆除原混凝土路面、拆除恢复原管沟、检查井拆除维修、外围路面硬化、新做彩色透水混凝土地面、嵌草砖铺设、透水砖铺设、单层建筑附属物清理及垃圾外运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采购包1（综合门诊楼四周雨水收集及排污施工）：属于专门面向中小企业采购。</w:t>
      </w:r>
    </w:p>
    <w:p>
      <w:pPr>
        <w:pStyle w:val="null3"/>
      </w:pPr>
      <w:r>
        <w:rPr>
          <w:rFonts w:ascii="仿宋_GB2312" w:hAnsi="仿宋_GB2312" w:cs="仿宋_GB2312" w:eastAsia="仿宋_GB2312"/>
        </w:rPr>
        <w:t>采购包2（1综合门诊楼外围混凝土挡墙。2综合门诊楼外围路面硬化及消防电缆管沟改造）：属于专门面向中小企业采购。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1、营业执照：供应商应是合法注册的法人或其他组织并出具合法有效的营业执照</w:t>
      </w:r>
    </w:p>
    <w:p>
      <w:pPr>
        <w:pStyle w:val="null3"/>
      </w:pPr>
      <w:r>
        <w:rPr>
          <w:rFonts w:ascii="仿宋_GB2312" w:hAnsi="仿宋_GB2312" w:cs="仿宋_GB2312" w:eastAsia="仿宋_GB2312"/>
        </w:rPr>
        <w:t>2、资质要求：供应商须具备建筑工程施工总承包三级及以上资质，具有有效的安全生产许可证</w:t>
      </w:r>
    </w:p>
    <w:p>
      <w:pPr>
        <w:pStyle w:val="null3"/>
      </w:pPr>
      <w:r>
        <w:rPr>
          <w:rFonts w:ascii="仿宋_GB2312" w:hAnsi="仿宋_GB2312" w:cs="仿宋_GB2312" w:eastAsia="仿宋_GB2312"/>
        </w:rPr>
        <w:t>3、法人代表证明书或法人授权委托书：法定代表人身份证明或法人授权委托书，后附法人及被委托人身份证（法定代表人直接参加磋商的只需提供法定代表人身份证）</w:t>
      </w:r>
    </w:p>
    <w:p>
      <w:pPr>
        <w:pStyle w:val="null3"/>
      </w:pPr>
      <w:r>
        <w:rPr>
          <w:rFonts w:ascii="仿宋_GB2312" w:hAnsi="仿宋_GB2312" w:cs="仿宋_GB2312" w:eastAsia="仿宋_GB2312"/>
        </w:rPr>
        <w:t>4、项目经理要求：拟派项目经理须具备建筑工程二级及以上注册建造师执业资格，具有安全生产考核合格证，且在本单位注册，无在建工程</w:t>
      </w:r>
    </w:p>
    <w:p>
      <w:pPr>
        <w:pStyle w:val="null3"/>
      </w:pPr>
      <w:r>
        <w:rPr>
          <w:rFonts w:ascii="仿宋_GB2312" w:hAnsi="仿宋_GB2312" w:cs="仿宋_GB2312" w:eastAsia="仿宋_GB2312"/>
        </w:rPr>
        <w:t>5、基本资格条件承诺函：根据临财函〔2025〕199号《西安市临潼区财政局关于开展政府采购供应商基本资格条件承诺制试点工作的通知》，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 如未提供基本资格条件承诺函的，应当按照《中华人民共和国政府采购法》及其实施条例的相关规定提供相应的证明材料： ①财务状况报告：提供2024年经审计的财务审计报告 (包括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②、税收和社保证明：提供自2025年1月1日起至投标截止时间前任意一个月的依法缴纳的税收和社保证明（社会保障资金缴存单据或社保机构开具的社会保险参保缴费情况证明）；依法免税或不需要缴纳社会保障资金的应提供相关证明材料；③无重大违法记录的书面声明：参加政府采购活动前三年内，在经营活动中没有重大违法记录的书面声明；④、履行合同能力的承诺书：履行合同所必需的设备和专业技术能力的承诺书；⑤信用截图：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6、供应商关联关系承诺书：单位负责人为同一人或者存在直接控股、管理关系的不同供应商，不得参加同一合同项下的投标活动</w:t>
      </w:r>
    </w:p>
    <w:p>
      <w:pPr>
        <w:pStyle w:val="null3"/>
      </w:pPr>
      <w:r>
        <w:rPr>
          <w:rFonts w:ascii="仿宋_GB2312" w:hAnsi="仿宋_GB2312" w:cs="仿宋_GB2312" w:eastAsia="仿宋_GB2312"/>
        </w:rPr>
        <w:t>7、落实政府采购政策需满足的资格要求：本项目为专门面向中小企业项目，供应商应为中型企业或小型、微型企业或监狱企业或残疾人福利性单位</w:t>
      </w:r>
    </w:p>
    <w:p>
      <w:pPr>
        <w:pStyle w:val="null3"/>
      </w:pPr>
      <w:r>
        <w:rPr>
          <w:rFonts w:ascii="仿宋_GB2312" w:hAnsi="仿宋_GB2312" w:cs="仿宋_GB2312" w:eastAsia="仿宋_GB2312"/>
        </w:rPr>
        <w:t>8、非联合体投标声明：本项目不接受联合体投标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1、营业执照：供应商应是合法注册的法人或其他组织并出具合法有效的营业执照</w:t>
      </w:r>
    </w:p>
    <w:p>
      <w:pPr>
        <w:pStyle w:val="null3"/>
      </w:pPr>
      <w:r>
        <w:rPr>
          <w:rFonts w:ascii="仿宋_GB2312" w:hAnsi="仿宋_GB2312" w:cs="仿宋_GB2312" w:eastAsia="仿宋_GB2312"/>
        </w:rPr>
        <w:t>2、资质要求：供应商须具备建筑工程施工总承包三级及以上资质，具有有效的安全生产许可证</w:t>
      </w:r>
    </w:p>
    <w:p>
      <w:pPr>
        <w:pStyle w:val="null3"/>
      </w:pPr>
      <w:r>
        <w:rPr>
          <w:rFonts w:ascii="仿宋_GB2312" w:hAnsi="仿宋_GB2312" w:cs="仿宋_GB2312" w:eastAsia="仿宋_GB2312"/>
        </w:rPr>
        <w:t>3、法人代表证明书或法人授权委托书：法定代表人身份证明或法人授权委托书，后附法人及被委托人身份证（法定代表人直接参加磋商的只需提供法定代表人身份证）</w:t>
      </w:r>
    </w:p>
    <w:p>
      <w:pPr>
        <w:pStyle w:val="null3"/>
      </w:pPr>
      <w:r>
        <w:rPr>
          <w:rFonts w:ascii="仿宋_GB2312" w:hAnsi="仿宋_GB2312" w:cs="仿宋_GB2312" w:eastAsia="仿宋_GB2312"/>
        </w:rPr>
        <w:t>4、项目经理要求：拟派项目经理须具备建筑工程二级及以上注册建造师执业资格，具有安全生产考核合格证，且在本单位注册，无在建工程</w:t>
      </w:r>
    </w:p>
    <w:p>
      <w:pPr>
        <w:pStyle w:val="null3"/>
      </w:pPr>
      <w:r>
        <w:rPr>
          <w:rFonts w:ascii="仿宋_GB2312" w:hAnsi="仿宋_GB2312" w:cs="仿宋_GB2312" w:eastAsia="仿宋_GB2312"/>
        </w:rPr>
        <w:t>5、基本资格条件承诺函：根据临财函〔2025〕199号《西安市临潼区财政局关于开展政府采购供应商基本资格条件承诺制试点工作的通知》，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 如未提供基本资格条件承诺函的，应当按照《中华人民共和国政府采购法》及其实施条例的相关规定提供相应的证明材料： ①财务状况报告：提供2024年经审计的财务审计报告 (包括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②、税收和社保证明：提供自2025年1月1日起至投标截止时间前任意一个月的依法缴纳的税收和社保证明（社会保障资金缴存单据或社保机构开具的社会保险参保缴费情况证明）；依法免税或不需要缴纳社会保障资金的应提供相关证明材料；③无重大违法记录的书面声明：参加政府采购活动前三年内，在经营活动中没有重大违法记录的书面声明；④、履行合同能力的承诺书：履行合同所必需的设备和专业技术能力的承诺书；⑤信用截图：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6、供应商关联关系承诺书：单位负责人为同一人或者存在直接控股、管理关系的不同供应商，不得参加同一合同项下的投标活动</w:t>
      </w:r>
    </w:p>
    <w:p>
      <w:pPr>
        <w:pStyle w:val="null3"/>
      </w:pPr>
      <w:r>
        <w:rPr>
          <w:rFonts w:ascii="仿宋_GB2312" w:hAnsi="仿宋_GB2312" w:cs="仿宋_GB2312" w:eastAsia="仿宋_GB2312"/>
        </w:rPr>
        <w:t>7、落实政府采购政策需满足的资格要求：本项目为专门面向中小企业项目，供应商应为中型企业或小型、微型企业或监狱企业或残疾人福利性单位</w:t>
      </w:r>
    </w:p>
    <w:p>
      <w:pPr>
        <w:pStyle w:val="null3"/>
      </w:pPr>
      <w:r>
        <w:rPr>
          <w:rFonts w:ascii="仿宋_GB2312" w:hAnsi="仿宋_GB2312" w:cs="仿宋_GB2312" w:eastAsia="仿宋_GB2312"/>
        </w:rPr>
        <w:t>8、非联合体投标声明：本项目不接受联合体投标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西安市临潼区西关正街2号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029-83827516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西安梓搏咨询管理有限公司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西安市临潼区环城东路东环路小区4号楼101室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029-83992983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采购包2：930,000.00元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代理服务费收费标准：中标人领取中标通知书时，代理服务费参照计价格【2002】1980号及发改价格【2011】534号文件规定标准，向“西安梓搏咨询管理有限公司”交纳。户 名：西安梓搏咨询管理有限公司 开户行：工商银行西安临潼区支行 账 号：3700 1733 092 0000 1856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西安市临潼区人民医院</w:t>
      </w:r>
      <w:r>
        <w:rPr>
          <w:rFonts w:ascii="仿宋_GB2312" w:hAnsi="仿宋_GB2312" w:cs="仿宋_GB2312" w:eastAsia="仿宋_GB2312"/>
        </w:rPr>
        <w:t>和</w:t>
      </w:r>
      <w:r>
        <w:rPr>
          <w:rFonts w:ascii="仿宋_GB2312" w:hAnsi="仿宋_GB2312" w:cs="仿宋_GB2312" w:eastAsia="仿宋_GB2312"/>
        </w:rPr>
        <w:t>西安梓搏咨询管理有限公司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西安梓搏咨询管理有限公司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西安梓搏咨询管理有限公司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联系人：王波</w:t>
      </w:r>
    </w:p>
    <w:p>
      <w:pPr>
        <w:pStyle w:val="null3"/>
      </w:pPr>
      <w:r>
        <w:rPr>
          <w:rFonts w:ascii="仿宋_GB2312" w:hAnsi="仿宋_GB2312" w:cs="仿宋_GB2312" w:eastAsia="仿宋_GB2312"/>
        </w:rPr>
        <w:t>联系电话：029-83992983</w:t>
      </w:r>
    </w:p>
    <w:p>
      <w:pPr>
        <w:pStyle w:val="null3"/>
      </w:pPr>
      <w:r>
        <w:rPr>
          <w:rFonts w:ascii="仿宋_GB2312" w:hAnsi="仿宋_GB2312" w:cs="仿宋_GB2312" w:eastAsia="仿宋_GB2312"/>
        </w:rPr>
        <w:t>地址：西安市临潼区环城东路东环路小区4号楼101室</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综合门诊楼四周雨水收集及排污施工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930,000.00</w:t>
      </w:r>
    </w:p>
    <w:p>
      <w:pPr>
        <w:pStyle w:val="null3"/>
      </w:pPr>
      <w:r>
        <w:rPr>
          <w:rFonts w:ascii="仿宋_GB2312" w:hAnsi="仿宋_GB2312" w:cs="仿宋_GB2312" w:eastAsia="仿宋_GB2312"/>
        </w:rPr>
        <w:t>采购包最高限价（元）: 930,000.00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1综合门诊楼外围混凝土挡墙。2综合门诊楼外围路面硬化及消防电缆管沟改造</w:t>
            </w:r>
          </w:p>
        </w:tc>
        <w:tc>
          <w:tcPr>
            <w:tcW w:type="dxa" w:w="1384"/>
          </w:tcPr>
          <w:p>
            <w:pPr>
              <w:pStyle w:val="null3"/>
              <w:jc w:val="right"/>
            </w:pPr>
            <w:r>
              <w:rPr>
                <w:rFonts w:ascii="仿宋_GB2312" w:hAnsi="仿宋_GB2312" w:cs="仿宋_GB2312" w:eastAsia="仿宋_GB2312"/>
              </w:rPr>
              <w:t>2.00</w:t>
            </w:r>
          </w:p>
        </w:tc>
        <w:tc>
          <w:tcPr>
            <w:tcW w:type="dxa" w:w="1384"/>
          </w:tcPr>
          <w:p>
            <w:pPr>
              <w:pStyle w:val="null3"/>
              <w:jc w:val="right"/>
            </w:pPr>
            <w:r>
              <w:rPr>
                <w:rFonts w:ascii="仿宋_GB2312" w:hAnsi="仿宋_GB2312" w:cs="仿宋_GB2312" w:eastAsia="仿宋_GB2312"/>
              </w:rPr>
              <w:t>930,000.00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标的名称：综合门诊楼四周雨水收集及排污施工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color w:val="000000"/>
              </w:rPr>
              <w:t>工程位于西安市临潼区人民医院院内，</w:t>
            </w:r>
            <w:r>
              <w:rPr>
                <w:rFonts w:ascii="仿宋_GB2312" w:hAnsi="仿宋_GB2312" w:cs="仿宋_GB2312" w:eastAsia="仿宋_GB2312"/>
                <w:sz w:val="21"/>
                <w:color w:val="000000"/>
              </w:rPr>
              <w:t>主要内容有：</w:t>
            </w:r>
            <w:r>
              <w:rPr>
                <w:rFonts w:ascii="仿宋_GB2312" w:hAnsi="仿宋_GB2312" w:cs="仿宋_GB2312" w:eastAsia="仿宋_GB2312"/>
                <w:sz w:val="21"/>
                <w:color w:val="000000"/>
              </w:rPr>
              <w:t>新做U型成品线性排水沟、砖砌U型排水沟、新做砖砌检查井、单篦雨水口、C3型混凝土室外管沟、缝隙式边沟、现场浇筑U型边沟及排水管道敷设</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质量验收标准或规范：符合国家现行有关施工质量验收规范</w:t>
            </w:r>
            <w:r>
              <w:rPr>
                <w:rFonts w:ascii="仿宋_GB2312" w:hAnsi="仿宋_GB2312" w:cs="仿宋_GB2312" w:eastAsia="仿宋_GB2312"/>
                <w:sz w:val="21"/>
                <w:color w:val="000000"/>
              </w:rPr>
              <w:t>“合格”要求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工程地点：</w:t>
            </w:r>
            <w:r>
              <w:rPr>
                <w:rFonts w:ascii="仿宋_GB2312" w:hAnsi="仿宋_GB2312" w:cs="仿宋_GB2312" w:eastAsia="仿宋_GB2312"/>
                <w:sz w:val="21"/>
                <w:color w:val="000000"/>
              </w:rPr>
              <w:t>西安市临潼区</w:t>
            </w:r>
            <w:r>
              <w:rPr>
                <w:rFonts w:ascii="仿宋_GB2312" w:hAnsi="仿宋_GB2312" w:cs="仿宋_GB2312" w:eastAsia="仿宋_GB2312"/>
                <w:sz w:val="21"/>
                <w:color w:val="000000"/>
              </w:rPr>
              <w:t>人民医院院内</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计划工期：自进场之日起</w:t>
            </w:r>
            <w:r>
              <w:rPr>
                <w:rFonts w:ascii="仿宋_GB2312" w:hAnsi="仿宋_GB2312" w:cs="仿宋_GB2312" w:eastAsia="仿宋_GB2312"/>
                <w:sz w:val="21"/>
              </w:rPr>
              <w:t>30日历天</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其他</w:t>
            </w:r>
            <w:r>
              <w:rPr>
                <w:rFonts w:ascii="仿宋_GB2312" w:hAnsi="仿宋_GB2312" w:cs="仿宋_GB2312" w:eastAsia="仿宋_GB2312"/>
                <w:sz w:val="21"/>
              </w:rPr>
              <w:t>:未尽的工程质量技术要求均按现行国家、省、市有关最新规范和标准执行</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标的名称：1综合门诊楼外围混凝土挡墙。2综合门诊楼外围路面硬化及消防电缆管沟改造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720"/>
              <w:jc w:val="left"/>
            </w:pPr>
            <w:r>
              <w:rPr>
                <w:rFonts w:ascii="仿宋_GB2312" w:hAnsi="仿宋_GB2312" w:cs="仿宋_GB2312" w:eastAsia="仿宋_GB2312"/>
                <w:sz w:val="21"/>
                <w:color w:val="000000"/>
              </w:rPr>
              <w:t>工程位于西安市临潼区人民医院院内，主要内容有：原综合楼外围新增混凝土挡墙，总长72.1m，现有挡墙与新增混凝土挡墙之间用1:9水泥土填充、挡墙上方做栏杆；拆除原混凝土路面、拆除恢复原管沟、检查井拆除维修、外围路面硬化、新做彩色透水混凝土地面、嵌草砖铺设、透水砖铺设、单层建筑附属物清理及垃圾外运等。</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质量验收标准或规范：符合国家现行有关施工质量验收规范“合格”要求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工程地点：</w:t>
            </w:r>
            <w:r>
              <w:rPr>
                <w:rFonts w:ascii="仿宋_GB2312" w:hAnsi="仿宋_GB2312" w:cs="仿宋_GB2312" w:eastAsia="仿宋_GB2312"/>
                <w:sz w:val="21"/>
                <w:color w:val="000000"/>
              </w:rPr>
              <w:t>西安市临潼区</w:t>
            </w:r>
            <w:r>
              <w:rPr>
                <w:rFonts w:ascii="仿宋_GB2312" w:hAnsi="仿宋_GB2312" w:cs="仿宋_GB2312" w:eastAsia="仿宋_GB2312"/>
                <w:sz w:val="21"/>
                <w:color w:val="000000"/>
              </w:rPr>
              <w:t>人民医院院内</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计划工期：自进场之日起</w:t>
            </w:r>
            <w:r>
              <w:rPr>
                <w:rFonts w:ascii="仿宋_GB2312" w:hAnsi="仿宋_GB2312" w:cs="仿宋_GB2312" w:eastAsia="仿宋_GB2312"/>
                <w:sz w:val="21"/>
              </w:rPr>
              <w:t>60日历天</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其他</w:t>
            </w:r>
            <w:r>
              <w:rPr>
                <w:rFonts w:ascii="仿宋_GB2312" w:hAnsi="仿宋_GB2312" w:cs="仿宋_GB2312" w:eastAsia="仿宋_GB2312"/>
                <w:sz w:val="21"/>
              </w:rPr>
              <w:t>:未尽的工程质量技术要求均按现行国家、省、市有关最新规范和标准执行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 2.供应商需要在线提交所有通过电子化交易平台实施的政府采购项目的响应文件，同时，线下递交响应文件，正本壹份、副本壹份，电子文件（U盘）壹份，随正本密封。若线上电子响应文件与纸质响应文件不一致以电子响应文件为准;若正本和副本不一致，以正本为准。 线下递交时间同线上响应文件递交截止时间;线下递交文件地点:西安市临潼区环城东路东环路小区4号楼101室。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供应商承诺书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根据临财函〔2025〕199号《西安市临潼区财政局关于开展政府采购供应商基本资格条件承诺制试点工作的通知》，供应商只需以书面形式提供规定格式的《基本资格条件承诺函》(详见资格证明文件中相关格式)， 如未提供基本资格条件承诺函的，提供2024年经审计的财务审计报告 (包括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供应商承诺书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根据临财函〔2025〕199号《西安市临潼区财政局关于开展政府采购供应商基本资格条件承诺制试点工作的通知》，供应商只需以书面形式提供规定格式的《基本资格条件承诺函》(详见资格证明文件中相关格式)， 如未提供基本资格条件承诺函的，提供2024年经审计的财务审计报告 (包括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供应商资格证明资料 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供应商资格证明资料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供应商应是合法注册的法人或其他组织并出具合法有效的营业执照</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供应商须具备建筑工程施工总承包三级及以上资质，具有有效的安全生产许可证</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法人代表证明书或法人授权委托书</w:t>
            </w:r>
          </w:p>
        </w:tc>
        <w:tc>
          <w:tcPr>
            <w:tcW w:type="dxa" w:w="3322"/>
          </w:tcPr>
          <w:p>
            <w:pPr>
              <w:pStyle w:val="null3"/>
            </w:pPr>
            <w:r>
              <w:rPr>
                <w:rFonts w:ascii="仿宋_GB2312" w:hAnsi="仿宋_GB2312" w:cs="仿宋_GB2312" w:eastAsia="仿宋_GB2312"/>
              </w:rPr>
              <w:t>法定代表人身份证明或法人授权委托书，后附法人及被委托人身份证（法定代表人直接参加磋商的只需提供法定代表人身份证）</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拟派项目经理须具备建筑工程二级及以上注册建造师执业资格，具有安全生产考核合格证，且在本单位注册，无在建工程</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临财函〔2025〕199号《西安市临潼区财政局关于开展政府采购供应商基本资格条件承诺制试点工作的通知》，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 如未提供基本资格条件承诺函的，应当按照《中华人民共和国政府采购法》及其实施条例的相关规定提供相应的证明材料： ①财务状况报告：提供2024年经审计的财务审计报告 (包括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②、税收和社保证明：提供自2025年1月1日起至投标截止时间前任意一个月的依法缴纳的税收和社保证明（社会保障资金缴存单据或社保机构开具的社会保险参保缴费情况证明）；依法免税或不需要缴纳社会保障资金的应提供相关证明材料；③无重大违法记录的书面声明：参加政府采购活动前三年内，在经营活动中没有重大违法记录的书面声明；④、履行合同能力的承诺书：履行合同所必需的设备和专业技术能力的承诺书；⑤信用截图：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供应商关联关系承诺书</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本项目为专门面向中小企业项目，供应商应为中型企业或小型、微型企业或监狱企业或残疾人福利性单位</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供应商资格证明资料 供应商承诺书</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供应商应是合法注册的法人或其他组织并出具合法有效的营业执照</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供应商须具备建筑工程施工总承包三级及以上资质，具有有效的安全生产许可证</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法人代表证明书或法人授权委托书</w:t>
            </w:r>
          </w:p>
        </w:tc>
        <w:tc>
          <w:tcPr>
            <w:tcW w:type="dxa" w:w="3322"/>
          </w:tcPr>
          <w:p>
            <w:pPr>
              <w:pStyle w:val="null3"/>
            </w:pPr>
            <w:r>
              <w:rPr>
                <w:rFonts w:ascii="仿宋_GB2312" w:hAnsi="仿宋_GB2312" w:cs="仿宋_GB2312" w:eastAsia="仿宋_GB2312"/>
              </w:rPr>
              <w:t>法定代表人身份证明或法人授权委托书，后附法人及被委托人身份证（法定代表人直接参加磋商的只需提供法定代表人身份证）</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拟派项目经理须具备建筑工程二级及以上注册建造师执业资格，具有安全生产考核合格证，且在本单位注册，无在建工程</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临财函〔2025〕199号《西安市临潼区财政局关于开展政府采购供应商基本资格条件承诺制试点工作的通知》，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 如未提供基本资格条件承诺函的，应当按照《中华人民共和国政府采购法》及其实施条例的相关规定提供相应的证明材料： ①财务状况报告：提供2024年经审计的财务审计报告 (包括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②、税收和社保证明：提供自2025年1月1日起至投标截止时间前任意一个月的依法缴纳的税收和社保证明（社会保障资金缴存单据或社保机构开具的社会保险参保缴费情况证明）；依法免税或不需要缴纳社会保障资金的应提供相关证明材料；③无重大违法记录的书面声明：参加政府采购活动前三年内，在经营活动中没有重大违法记录的书面声明；④、履行合同能力的承诺书：履行合同所必需的设备和专业技术能力的承诺书；⑤信用截图：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供应商关联关系承诺书</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本项目为专门面向中小企业项目，供应商应为中型企业或小型、微型企业或监狱企业或残疾人福利性单位</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供应商资格证明资料 供应商承诺书</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供应商基本信息</w:t>
            </w:r>
          </w:p>
        </w:tc>
        <w:tc>
          <w:tcPr>
            <w:tcW w:type="dxa" w:w="3322"/>
          </w:tcPr>
          <w:p>
            <w:pPr>
              <w:pStyle w:val="null3"/>
            </w:pPr>
            <w:r>
              <w:rPr>
                <w:rFonts w:ascii="仿宋_GB2312" w:hAnsi="仿宋_GB2312" w:cs="仿宋_GB2312" w:eastAsia="仿宋_GB2312"/>
              </w:rPr>
              <w:t>供应商提供的单位名称、签章等信息与营业执照、资质证书等一致。</w:t>
            </w:r>
          </w:p>
        </w:tc>
        <w:tc>
          <w:tcPr>
            <w:tcW w:type="dxa" w:w="1661"/>
          </w:tcPr>
          <w:p>
            <w:pPr>
              <w:pStyle w:val="null3"/>
            </w:pPr>
            <w:r>
              <w:rPr>
                <w:rFonts w:ascii="仿宋_GB2312" w:hAnsi="仿宋_GB2312" w:cs="仿宋_GB2312" w:eastAsia="仿宋_GB2312"/>
              </w:rPr>
              <w:t>响应文件封面 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响应文件的签署、盖章、响应文件格式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施工组织设计 供应商资格证明资料 中小企业声明函 技术服务合同条款及其他商务要求应答表 响应文件封面 项目管理机构组成表 残疾人福利性单位声明函 报价函 标的清单 供应商类似项目业绩一览表 供应商承诺书 响应函 主要人员简历表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分项报价表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供应商基本信息</w:t>
            </w:r>
          </w:p>
        </w:tc>
        <w:tc>
          <w:tcPr>
            <w:tcW w:type="dxa" w:w="3322"/>
          </w:tcPr>
          <w:p>
            <w:pPr>
              <w:pStyle w:val="null3"/>
            </w:pPr>
            <w:r>
              <w:rPr>
                <w:rFonts w:ascii="仿宋_GB2312" w:hAnsi="仿宋_GB2312" w:cs="仿宋_GB2312" w:eastAsia="仿宋_GB2312"/>
              </w:rPr>
              <w:t>供应商提供的单位名称、签章等信息与营业执照、资质证书等一致。</w:t>
            </w:r>
          </w:p>
        </w:tc>
        <w:tc>
          <w:tcPr>
            <w:tcW w:type="dxa" w:w="1661"/>
          </w:tcPr>
          <w:p>
            <w:pPr>
              <w:pStyle w:val="null3"/>
            </w:pPr>
            <w:r>
              <w:rPr>
                <w:rFonts w:ascii="仿宋_GB2312" w:hAnsi="仿宋_GB2312" w:cs="仿宋_GB2312" w:eastAsia="仿宋_GB2312"/>
              </w:rPr>
              <w:t>响应文件封面 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响应文件的签署、盖章、响应文件格式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施工组织设计 供应商资格证明资料 分项报价表 中小企业声明函 技术服务合同条款及其他商务要求应答表 响应文件封面 项目管理机构组成表 残疾人福利性单位声明函 报价函 标的清单 供应商类似项目业绩一览表 供应商承诺书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措施内容科学可行、有针对性且内容详细计5～8（含）分； 措施内容较为可行、针对性不强、内容较简单计3～5（含）分，措施内容简单笼统，涵盖不全面且实施有难度的计 1~3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措施内容科学可行、有针对性且内容详细计5～8（含）分； 措施内容较为可行、针对性不强、内容较简单计3～5（含）分，措施内容简单笼统，涵盖不全面且实施有难度的计 1~3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确保文明施工的技术组织措施及环境保护措施（包含治污减霾措施）</w:t>
            </w:r>
          </w:p>
        </w:tc>
        <w:tc>
          <w:tcPr>
            <w:tcW w:type="dxa" w:w="2492"/>
          </w:tcPr>
          <w:p>
            <w:pPr>
              <w:pStyle w:val="null3"/>
            </w:pPr>
            <w:r>
              <w:rPr>
                <w:rFonts w:ascii="仿宋_GB2312" w:hAnsi="仿宋_GB2312" w:cs="仿宋_GB2312" w:eastAsia="仿宋_GB2312"/>
              </w:rPr>
              <w:t>措施内容科学可行、有针对性且内容详细计5～8（含）分； 措施内容较为可行、针对性不强、内容较简单计3～5（含）分，措施内容简单笼统，涵盖不全面且实施有难度的计 1~3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措施内容科学可行、有针对性且内容详细计5～8（含）分； 措施内容较为可行、针对性不强、内容较简单计3～5（含）分，措施内容简单笼统，涵盖不全面且实施有难度的计 1~3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方案总体思路清晰、合理、可操作性强、可执行程度强，且能很好推动项目实施得7～10（含）分； 方案总体思路基本明确、可行性、合理性较高得4～7(含)分； 方案思路模糊、可行性、合理性一般得0～4(含)分。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人员搭配合理，数量充足，经验丰富，证明材料详尽计4～6（含）分；人员搭配较为合理，数量较充足，经验不足，证明材料不够详尽计2～4（含）分。 人员搭配缺乏科学合理性，简单笼统得 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机械、设备等安排合理、完整计2～4（含）分； 机械、设备等安排简单计0～2（含）分。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施工进度表或网络施工图</w:t>
            </w:r>
          </w:p>
        </w:tc>
        <w:tc>
          <w:tcPr>
            <w:tcW w:type="dxa" w:w="2492"/>
          </w:tcPr>
          <w:p>
            <w:pPr>
              <w:pStyle w:val="null3"/>
            </w:pPr>
            <w:r>
              <w:rPr>
                <w:rFonts w:ascii="仿宋_GB2312" w:hAnsi="仿宋_GB2312" w:cs="仿宋_GB2312" w:eastAsia="仿宋_GB2312"/>
              </w:rPr>
              <w:t>进度表或网络图结构清晰、安排科学合理计2～4（含）分；进度表或网络图结构基本清晰、安排合理计1～2（含）分，未提供不计分。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新技术、新 产品、新工 艺、新材料 应用</w:t>
            </w:r>
          </w:p>
        </w:tc>
        <w:tc>
          <w:tcPr>
            <w:tcW w:type="dxa" w:w="2492"/>
          </w:tcPr>
          <w:p>
            <w:pPr>
              <w:pStyle w:val="null3"/>
            </w:pPr>
            <w:r>
              <w:rPr>
                <w:rFonts w:ascii="仿宋_GB2312" w:hAnsi="仿宋_GB2312" w:cs="仿宋_GB2312" w:eastAsia="仿宋_GB2312"/>
              </w:rPr>
              <w:t>应用的技术、产品、工艺、材料等 先进科学、可行性高计2~3分；应用的技术、产品、工艺、材料等先进科学、可行性较高计 1~2 分； 应用的技术、产品、工艺、材料等科 学性、可行性缺乏计0~1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 3~5 分； 承诺方案专门针对本项目编制，符合项 目实际情况及实施要求，内容详尽且涵盖角度基本全面，有一定的合理性和可行性的，得 2~3 分；承诺方案专门针对本项目编制，基本符合项目实际情况及实施要求，但涵盖角度不全面且实施有难度的，得 1~2分。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提供（2022年9月至今）类似业绩（以合同协议书或中标通知书为准），每提供一份业绩得3分，最高不超过6分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采用低价优先法计算，即满足磋商文件要求且报价最低的投标报价为评审基准价，其价格分为满分。 投标报价得分＝（评审基准价/投标报价）×30 评标委员会三分之二以上专家认为某投标报价有低于成本价嫌疑的，为无效投标报价。 注：各供应商的在多次报价中应逐次降价，本次报价超过上次报价的，为无效报价，取消其磋商资格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措施内容科学可行、有针对性且内容详细计5～8（含）分； 措施内容较为可行、针对性不强、内容较简单计3～5（含）分，措施内容简单笼统，涵盖不全面且实施有难度的计 1~3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措施内容科学可行、有针对性且内容详细计5～8（含）分； 措施内容较为可行、针对性不强、内容较简单计3～5（含）分，措施内容简单笼统，涵盖不全面且实施有难度的计 1~3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确保文明施工的技术组织措施及环境保护措施（包含治污减霾措施）</w:t>
            </w:r>
          </w:p>
        </w:tc>
        <w:tc>
          <w:tcPr>
            <w:tcW w:type="dxa" w:w="2492"/>
          </w:tcPr>
          <w:p>
            <w:pPr>
              <w:pStyle w:val="null3"/>
            </w:pPr>
            <w:r>
              <w:rPr>
                <w:rFonts w:ascii="仿宋_GB2312" w:hAnsi="仿宋_GB2312" w:cs="仿宋_GB2312" w:eastAsia="仿宋_GB2312"/>
              </w:rPr>
              <w:t>措施内容科学可行、有针对性且内容详细计5～8（含）分； 措施内容较为可行、针对性不强、内容较简单计3～5（含）分，措施内容简单笼统，涵盖不全面且实施有难度的计 1~3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措施内容科学可行、有针对性且内容详细计5～8（含）分； 措施内容较为可行、针对性不强、内容较简单计3～5（含）分，措施内容简单笼统，涵盖不全面且实施有难度的计 1~3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方案总体思路清晰、合理、可操作性强、可执行程度强，且能很好推动项目实施得7～10（含）分； 方案总体思路基本明确、可行性、合理性较高得4～7(含)分； 方案思路模糊、可行性、合理性一般得0～4(含)分。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项目经理部 组成及劳动 力投入</w:t>
            </w:r>
          </w:p>
        </w:tc>
        <w:tc>
          <w:tcPr>
            <w:tcW w:type="dxa" w:w="2492"/>
          </w:tcPr>
          <w:p>
            <w:pPr>
              <w:pStyle w:val="null3"/>
            </w:pPr>
            <w:r>
              <w:rPr>
                <w:rFonts w:ascii="仿宋_GB2312" w:hAnsi="仿宋_GB2312" w:cs="仿宋_GB2312" w:eastAsia="仿宋_GB2312"/>
              </w:rPr>
              <w:t>人员搭配合理，数量充足，经验丰富，证明材料详尽计4～6（含）分；人员搭配较为合理，数量较充足，经验不足，证明材料不够详尽计2～4（含）分。 人员搭配缺乏科学合理性，简单笼统得 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机械、设备等安排合理、完整计2～4（含）分； 机械、设备等安排简单计0～2（含）分。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施工进度表或网络施工图</w:t>
            </w:r>
          </w:p>
        </w:tc>
        <w:tc>
          <w:tcPr>
            <w:tcW w:type="dxa" w:w="2492"/>
          </w:tcPr>
          <w:p>
            <w:pPr>
              <w:pStyle w:val="null3"/>
            </w:pPr>
            <w:r>
              <w:rPr>
                <w:rFonts w:ascii="仿宋_GB2312" w:hAnsi="仿宋_GB2312" w:cs="仿宋_GB2312" w:eastAsia="仿宋_GB2312"/>
              </w:rPr>
              <w:t>进度表或网络图结构清晰、安排科学合理计2～4（含）分；进度表或网络图结构基本清晰、安排合理计1～2（含）分，未提供不计分。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应用的技术、产品、工艺、材料等 先进科学、可行性高计2~3分；应用的技术、产品、工艺、材料等先进科学、可行性较高计 1~2 分； 应用的技术、产品、工艺、材料等科 学性、可行性缺乏计0~1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 3~5 分； 承诺方案专门针对本项目编制，符合项 目实际情况及实施要求，内容详尽且涵盖角度基本全面，有一定的合理性和可行性的，得 2~3 分；承诺方案专门针对本项目编制，基本符合项目实际情况及实施要求，但涵盖角度不全面且实施有难度的，得 1~2分。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提供（2022年9月至今）类似业绩（以合同协议书或中标通知书为准），每提供一份业绩得3分，最高不超过6分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采用低价优先法计算，即满足磋商文件要求且报价最低的投标报价为评审基准价，其价格分为满分。 投标报价得分＝（评审基准价/投标报价）×30 评标委员会三分之二以上专家认为某投标报价有低于成本价嫌疑的，为无效投标报价。 注：各供应商的在多次报价中应逐次降价，本次报价超过上次报价的，为无效报价，取消其磋商资格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