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E8074">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center"/>
        <w:textAlignment w:val="auto"/>
        <w:outlineLvl w:val="0"/>
        <w:rPr>
          <w:rFonts w:hint="eastAsia" w:ascii="宋体" w:hAnsi="宋体" w:eastAsia="宋体" w:cs="宋体"/>
          <w:b/>
          <w:bCs/>
          <w:kern w:val="44"/>
          <w:sz w:val="32"/>
          <w:szCs w:val="32"/>
          <w:lang w:val="en-US" w:eastAsia="zh-CN" w:bidi="ar-SA"/>
        </w:rPr>
      </w:pPr>
      <w:bookmarkStart w:id="0" w:name="_Toc2995"/>
      <w:r>
        <w:rPr>
          <w:rFonts w:hint="eastAsia" w:ascii="宋体" w:hAnsi="宋体" w:eastAsia="宋体" w:cs="宋体"/>
          <w:b/>
          <w:bCs/>
          <w:kern w:val="44"/>
          <w:sz w:val="32"/>
          <w:szCs w:val="32"/>
          <w:lang w:val="en-US" w:eastAsia="zh-CN" w:bidi="ar-SA"/>
        </w:rPr>
        <w:t>合同条款</w:t>
      </w:r>
      <w:bookmarkEnd w:id="0"/>
      <w:bookmarkStart w:id="1" w:name="_Toc26065_WPSOffice_Level1"/>
    </w:p>
    <w:bookmarkEnd w:id="1"/>
    <w:p w14:paraId="78A0DAB8">
      <w:pPr>
        <w:pStyle w:val="4"/>
        <w:widowControl w:val="0"/>
        <w:spacing w:before="0" w:beforeAutospacing="0" w:after="0" w:afterAutospacing="0" w:line="348" w:lineRule="auto"/>
        <w:ind w:firstLine="480" w:firstLineChars="200"/>
        <w:jc w:val="both"/>
        <w:rPr>
          <w:rFonts w:hint="eastAsia" w:ascii="宋体" w:hAnsi="宋体" w:eastAsia="宋体" w:cs="宋体"/>
          <w:sz w:val="24"/>
          <w:szCs w:val="24"/>
        </w:rPr>
      </w:pPr>
      <w:r>
        <w:rPr>
          <w:rFonts w:hint="eastAsia" w:ascii="宋体" w:hAnsi="宋体" w:eastAsia="宋体" w:cs="宋体"/>
          <w:kern w:val="2"/>
          <w:sz w:val="24"/>
          <w:szCs w:val="24"/>
          <w:lang w:bidi="ar"/>
        </w:rPr>
        <w:t xml:space="preserve">合同编号： </w:t>
      </w:r>
    </w:p>
    <w:p w14:paraId="0233DE45">
      <w:pPr>
        <w:pStyle w:val="4"/>
        <w:widowControl w:val="0"/>
        <w:spacing w:before="0" w:beforeAutospacing="0" w:after="0" w:afterAutospacing="0" w:line="348" w:lineRule="auto"/>
        <w:ind w:firstLine="480" w:firstLineChars="200"/>
        <w:jc w:val="both"/>
        <w:rPr>
          <w:rFonts w:hint="eastAsia" w:ascii="宋体" w:hAnsi="宋体" w:eastAsia="宋体" w:cs="宋体"/>
          <w:sz w:val="24"/>
          <w:szCs w:val="24"/>
        </w:rPr>
      </w:pPr>
      <w:r>
        <w:rPr>
          <w:rFonts w:hint="eastAsia" w:ascii="宋体" w:hAnsi="宋体" w:eastAsia="宋体" w:cs="宋体"/>
          <w:kern w:val="2"/>
          <w:sz w:val="24"/>
          <w:szCs w:val="24"/>
          <w:lang w:bidi="ar"/>
        </w:rPr>
        <w:t xml:space="preserve">签订地点： </w:t>
      </w:r>
    </w:p>
    <w:p w14:paraId="6E4587EC">
      <w:pPr>
        <w:pStyle w:val="4"/>
        <w:widowControl w:val="0"/>
        <w:spacing w:before="0" w:beforeAutospacing="0" w:after="0" w:afterAutospacing="0" w:line="348" w:lineRule="auto"/>
        <w:ind w:firstLine="480" w:firstLineChars="200"/>
        <w:jc w:val="both"/>
        <w:rPr>
          <w:rFonts w:hint="eastAsia" w:ascii="宋体" w:hAnsi="宋体" w:eastAsia="宋体" w:cs="宋体"/>
          <w:sz w:val="24"/>
          <w:szCs w:val="24"/>
        </w:rPr>
      </w:pPr>
      <w:r>
        <w:rPr>
          <w:rFonts w:hint="eastAsia" w:ascii="宋体" w:hAnsi="宋体" w:eastAsia="宋体" w:cs="宋体"/>
          <w:kern w:val="2"/>
          <w:sz w:val="24"/>
          <w:szCs w:val="24"/>
          <w:lang w:bidi="ar"/>
        </w:rPr>
        <w:t>签订时间：</w:t>
      </w:r>
    </w:p>
    <w:p w14:paraId="41EDBA00">
      <w:pPr>
        <w:pStyle w:val="4"/>
        <w:widowControl w:val="0"/>
        <w:spacing w:before="0" w:beforeAutospacing="0" w:after="0" w:afterAutospacing="0" w:line="348" w:lineRule="auto"/>
        <w:ind w:firstLine="480" w:firstLineChars="200"/>
        <w:jc w:val="both"/>
        <w:rPr>
          <w:rFonts w:hint="eastAsia" w:ascii="宋体" w:hAnsi="宋体" w:eastAsia="宋体" w:cs="宋体"/>
          <w:sz w:val="24"/>
          <w:szCs w:val="24"/>
        </w:rPr>
      </w:pPr>
      <w:r>
        <w:rPr>
          <w:rFonts w:hint="eastAsia" w:ascii="宋体" w:hAnsi="宋体" w:eastAsia="宋体" w:cs="宋体"/>
          <w:kern w:val="2"/>
          <w:sz w:val="24"/>
          <w:szCs w:val="24"/>
          <w:lang w:bidi="ar"/>
        </w:rPr>
        <w:t>采购人（甲方）：</w:t>
      </w:r>
    </w:p>
    <w:p w14:paraId="40DA01CC">
      <w:pPr>
        <w:pStyle w:val="4"/>
        <w:widowControl w:val="0"/>
        <w:spacing w:before="0" w:beforeAutospacing="0" w:after="0" w:afterAutospacing="0" w:line="348" w:lineRule="auto"/>
        <w:ind w:firstLine="480" w:firstLineChars="200"/>
        <w:jc w:val="both"/>
        <w:rPr>
          <w:rFonts w:hint="eastAsia" w:ascii="宋体" w:hAnsi="宋体" w:eastAsia="宋体" w:cs="宋体"/>
          <w:sz w:val="24"/>
          <w:szCs w:val="24"/>
        </w:rPr>
      </w:pPr>
      <w:r>
        <w:rPr>
          <w:rFonts w:hint="eastAsia" w:ascii="宋体" w:hAnsi="宋体" w:eastAsia="宋体" w:cs="宋体"/>
          <w:kern w:val="2"/>
          <w:sz w:val="24"/>
          <w:szCs w:val="24"/>
          <w:lang w:bidi="ar"/>
        </w:rPr>
        <w:t>中标人（乙方）：</w:t>
      </w:r>
    </w:p>
    <w:p w14:paraId="23625D84">
      <w:pPr>
        <w:pStyle w:val="3"/>
        <w:spacing w:line="348" w:lineRule="auto"/>
        <w:ind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根据《中华人民共和国政府采购法》及实施条例、《中华人民共和国民法典》和甲方</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w:t>
      </w:r>
      <w:r>
        <w:rPr>
          <w:rFonts w:hint="eastAsia" w:ascii="宋体" w:hAnsi="宋体" w:eastAsia="宋体" w:cs="宋体"/>
          <w:sz w:val="24"/>
          <w:szCs w:val="24"/>
          <w:u w:val="single"/>
        </w:rPr>
        <w:t>项目编号</w:t>
      </w:r>
      <w:r>
        <w:rPr>
          <w:rFonts w:hint="eastAsia" w:ascii="宋体" w:hAnsi="宋体" w:eastAsia="宋体" w:cs="宋体"/>
          <w:sz w:val="24"/>
          <w:szCs w:val="24"/>
        </w:rPr>
        <w:t>）第</w:t>
      </w:r>
      <w:r>
        <w:rPr>
          <w:rFonts w:hint="eastAsia" w:ascii="宋体" w:hAnsi="宋体" w:eastAsia="宋体" w:cs="宋体"/>
          <w:sz w:val="24"/>
          <w:szCs w:val="24"/>
          <w:u w:val="single"/>
        </w:rPr>
        <w:t xml:space="preserve">  </w:t>
      </w:r>
      <w:r>
        <w:rPr>
          <w:rFonts w:hint="eastAsia" w:ascii="宋体" w:hAnsi="宋体" w:eastAsia="宋体" w:cs="宋体"/>
          <w:sz w:val="24"/>
          <w:szCs w:val="24"/>
        </w:rPr>
        <w:t>包的</w:t>
      </w:r>
      <w:r>
        <w:rPr>
          <w:rFonts w:hint="eastAsia" w:ascii="宋体" w:hAnsi="宋体" w:cs="宋体"/>
          <w:sz w:val="24"/>
          <w:szCs w:val="24"/>
          <w:lang w:val="en-US" w:eastAsia="zh-CN"/>
        </w:rPr>
        <w:t>招标</w:t>
      </w:r>
      <w:r>
        <w:rPr>
          <w:rFonts w:hint="eastAsia" w:ascii="宋体" w:hAnsi="宋体" w:eastAsia="宋体" w:cs="宋体"/>
          <w:sz w:val="24"/>
          <w:szCs w:val="24"/>
        </w:rPr>
        <w:t>文件、响应文件等有关规定，为确保甲方采购项目的顺利实施，甲、乙双方在平等自愿原则下签订本合同，并共同遵守如下条款：</w:t>
      </w:r>
      <w:bookmarkStart w:id="2" w:name="_Toc14987"/>
    </w:p>
    <w:bookmarkEnd w:id="2"/>
    <w:p w14:paraId="7CFDD365">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bookmarkStart w:id="3" w:name="_Toc19858"/>
      <w:r>
        <w:rPr>
          <w:rFonts w:hint="eastAsia" w:ascii="宋体" w:hAnsi="宋体" w:eastAsia="宋体" w:cs="宋体"/>
          <w:b/>
          <w:bCs/>
          <w:color w:val="000000"/>
          <w:sz w:val="24"/>
          <w:szCs w:val="24"/>
        </w:rPr>
        <w:t>第一条  项目基本情况</w:t>
      </w:r>
    </w:p>
    <w:p w14:paraId="6B2057F4">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eastAsia="zh-CN"/>
        </w:rPr>
        <w:t>西安市临潼区2025年残疾人居家安养服务</w:t>
      </w:r>
      <w:r>
        <w:rPr>
          <w:rFonts w:hint="eastAsia" w:ascii="宋体" w:hAnsi="宋体" w:eastAsia="宋体" w:cs="宋体"/>
          <w:sz w:val="24"/>
          <w:szCs w:val="24"/>
          <w:highlight w:val="none"/>
        </w:rPr>
        <w:t>，针对残疾人特殊性、多样性、类别化的服务需求，采取居家安养服务形式，以满足残疾人的个性化需求，采取定期上门、计时服务等形式，</w:t>
      </w:r>
      <w:r>
        <w:rPr>
          <w:rFonts w:hint="eastAsia" w:ascii="宋体" w:hAnsi="宋体" w:eastAsia="宋体" w:cs="宋体"/>
          <w:sz w:val="24"/>
          <w:szCs w:val="24"/>
          <w:highlight w:val="none"/>
          <w:lang w:val="en-US" w:eastAsia="zh-CN"/>
        </w:rPr>
        <w:t>落实党和政府对残疾人事业的政策，为残疾人提供免费做餐、助洁、康复护理，心理慰藉等服务，使残疾人真正感受到政府的关心。</w:t>
      </w:r>
    </w:p>
    <w:p w14:paraId="639F89B7">
      <w:pPr>
        <w:spacing w:line="360" w:lineRule="auto"/>
        <w:rPr>
          <w:rFonts w:hint="eastAsia" w:ascii="宋体" w:hAnsi="宋体" w:eastAsia="宋体" w:cs="宋体"/>
          <w:sz w:val="24"/>
          <w:szCs w:val="24"/>
          <w:highlight w:val="none"/>
        </w:rPr>
      </w:pPr>
      <w:r>
        <w:rPr>
          <w:rFonts w:hint="eastAsia" w:ascii="宋体" w:hAnsi="宋体" w:eastAsia="宋体" w:cs="宋体"/>
          <w:b/>
          <w:bCs/>
          <w:color w:val="000000"/>
          <w:sz w:val="24"/>
          <w:szCs w:val="24"/>
          <w:highlight w:val="none"/>
        </w:rPr>
        <w:t>第二条  服务期限</w:t>
      </w:r>
    </w:p>
    <w:p w14:paraId="01D5B024">
      <w:pPr>
        <w:pStyle w:val="4"/>
        <w:shd w:val="clear" w:color="auto" w:fill="FFFFFF"/>
        <w:spacing w:before="0" w:beforeAutospacing="0" w:after="0" w:afterAutospacing="0" w:line="360" w:lineRule="auto"/>
        <w:ind w:firstLine="480" w:firstLineChars="200"/>
        <w:rPr>
          <w:rFonts w:hint="default" w:cs="宋体"/>
          <w:bCs/>
          <w:color w:val="000000"/>
          <w:sz w:val="24"/>
          <w:szCs w:val="24"/>
          <w:highlight w:val="none"/>
          <w:lang w:val="en-US" w:eastAsia="zh-CN"/>
        </w:rPr>
      </w:pPr>
      <w:bookmarkStart w:id="4" w:name="_Toc247334841"/>
      <w:bookmarkStart w:id="5" w:name="_Toc212019594"/>
      <w:bookmarkStart w:id="6" w:name="_Toc283019214"/>
      <w:bookmarkStart w:id="7" w:name="_Toc251768862"/>
      <w:bookmarkStart w:id="8" w:name="_Toc237145406"/>
      <w:bookmarkStart w:id="9" w:name="_Toc286993786"/>
      <w:bookmarkStart w:id="10" w:name="_Toc225670751"/>
      <w:bookmarkStart w:id="11" w:name="_Toc239568418"/>
      <w:bookmarkStart w:id="12" w:name="_Toc238984975"/>
      <w:bookmarkStart w:id="13" w:name="_Toc241833903"/>
      <w:bookmarkStart w:id="14" w:name="_Toc185395249"/>
      <w:bookmarkStart w:id="15" w:name="_Toc225654644"/>
      <w:bookmarkStart w:id="16" w:name="_Toc232492928"/>
      <w:bookmarkStart w:id="17" w:name="_Toc211911348"/>
      <w:bookmarkStart w:id="18" w:name="_Toc239233914"/>
      <w:bookmarkStart w:id="19" w:name="_Toc211854449"/>
      <w:bookmarkStart w:id="20" w:name="_Toc282696226"/>
      <w:bookmarkStart w:id="21" w:name="_Toc225244852"/>
      <w:r>
        <w:rPr>
          <w:rFonts w:hint="eastAsia" w:cs="宋体"/>
          <w:bCs/>
          <w:color w:val="000000"/>
          <w:sz w:val="24"/>
          <w:szCs w:val="24"/>
          <w:highlight w:val="none"/>
          <w:lang w:val="en-US" w:eastAsia="zh-CN"/>
        </w:rPr>
        <w:t>自合同签订之日起6个月。</w:t>
      </w:r>
    </w:p>
    <w:p w14:paraId="1BAC83C3">
      <w:pPr>
        <w:pStyle w:val="4"/>
        <w:shd w:val="clear" w:color="auto" w:fill="FFFFFF"/>
        <w:spacing w:before="0" w:beforeAutospacing="0" w:after="0" w:afterAutospacing="0"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第三条  服务内容与质量标准</w:t>
      </w:r>
    </w:p>
    <w:p w14:paraId="44E649E4">
      <w:pPr>
        <w:keepNext w:val="0"/>
        <w:keepLines w:val="0"/>
        <w:pageBreakBefore w:val="0"/>
        <w:kinsoku/>
        <w:wordWrap/>
        <w:overflowPunct/>
        <w:topLinePunct w:val="0"/>
        <w:autoSpaceDE/>
        <w:autoSpaceDN/>
        <w:bidi w:val="0"/>
        <w:adjustRightInd/>
        <w:snapToGrid/>
        <w:spacing w:line="360" w:lineRule="auto"/>
        <w:ind w:left="0" w:leftChars="0" w:right="0" w:firstLine="506" w:firstLineChars="200"/>
        <w:textAlignment w:val="auto"/>
        <w:rPr>
          <w:rFonts w:hint="eastAsia" w:ascii="宋体" w:hAnsi="宋体" w:cs="宋体"/>
          <w:b/>
          <w:bCs/>
          <w:spacing w:val="6"/>
          <w:sz w:val="24"/>
          <w:szCs w:val="24"/>
          <w:lang w:val="en-US" w:eastAsia="zh-CN"/>
        </w:rPr>
      </w:pPr>
      <w:r>
        <w:rPr>
          <w:rFonts w:hint="eastAsia" w:ascii="宋体" w:hAnsi="宋体" w:cs="宋体"/>
          <w:b/>
          <w:bCs/>
          <w:spacing w:val="6"/>
          <w:sz w:val="24"/>
          <w:szCs w:val="24"/>
          <w:lang w:eastAsia="zh-CN"/>
        </w:rPr>
        <w:t>（</w:t>
      </w:r>
      <w:r>
        <w:rPr>
          <w:rFonts w:hint="eastAsia" w:ascii="宋体" w:hAnsi="宋体" w:cs="宋体"/>
          <w:b/>
          <w:bCs/>
          <w:spacing w:val="6"/>
          <w:sz w:val="24"/>
          <w:szCs w:val="24"/>
          <w:lang w:val="en-US" w:eastAsia="zh-CN"/>
        </w:rPr>
        <w:t>1</w:t>
      </w:r>
      <w:r>
        <w:rPr>
          <w:rFonts w:hint="eastAsia" w:ascii="宋体" w:hAnsi="宋体" w:cs="宋体"/>
          <w:b/>
          <w:bCs/>
          <w:spacing w:val="6"/>
          <w:sz w:val="24"/>
          <w:szCs w:val="24"/>
          <w:lang w:eastAsia="zh-CN"/>
        </w:rPr>
        <w:t>）</w:t>
      </w:r>
      <w:r>
        <w:rPr>
          <w:rFonts w:hint="eastAsia" w:ascii="宋体" w:hAnsi="宋体" w:cs="宋体"/>
          <w:b/>
          <w:bCs/>
          <w:spacing w:val="6"/>
          <w:sz w:val="24"/>
          <w:szCs w:val="24"/>
          <w:lang w:val="en-US" w:eastAsia="zh-CN"/>
        </w:rPr>
        <w:t>服务内容</w:t>
      </w:r>
    </w:p>
    <w:p w14:paraId="18913D57">
      <w:pPr>
        <w:pStyle w:val="2"/>
        <w:ind w:firstLine="480" w:firstLineChars="200"/>
        <w:rPr>
          <w:rFonts w:hint="default"/>
          <w:lang w:val="en-US" w:eastAsia="zh-CN"/>
        </w:rPr>
      </w:pPr>
      <w:r>
        <w:rPr>
          <w:rFonts w:hint="eastAsia" w:eastAsia="宋体" w:cs="宋体"/>
          <w:i w:val="0"/>
          <w:iCs w:val="0"/>
          <w:caps w:val="0"/>
          <w:color w:val="333333"/>
          <w:spacing w:val="0"/>
          <w:sz w:val="24"/>
          <w:szCs w:val="24"/>
          <w:highlight w:val="none"/>
          <w:shd w:val="clear" w:color="auto" w:fill="FFFFFF"/>
          <w:vertAlign w:val="baseline"/>
          <w:lang w:val="en-US" w:eastAsia="zh-CN"/>
        </w:rPr>
        <w:t>为残疾人</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提供生活照料和护理；社会适应能力辅导和运动功能训练。</w:t>
      </w:r>
    </w:p>
    <w:p w14:paraId="3E5C8970">
      <w:pPr>
        <w:keepNext w:val="0"/>
        <w:keepLines w:val="0"/>
        <w:pageBreakBefore w:val="0"/>
        <w:kinsoku/>
        <w:wordWrap/>
        <w:overflowPunct/>
        <w:topLinePunct w:val="0"/>
        <w:autoSpaceDE/>
        <w:autoSpaceDN/>
        <w:bidi w:val="0"/>
        <w:adjustRightInd/>
        <w:snapToGrid/>
        <w:spacing w:line="360" w:lineRule="auto"/>
        <w:ind w:left="0" w:leftChars="0" w:right="0" w:firstLine="506" w:firstLineChars="200"/>
        <w:textAlignment w:val="auto"/>
        <w:rPr>
          <w:rFonts w:hint="eastAsia" w:ascii="宋体" w:hAnsi="宋体" w:eastAsia="宋体" w:cs="宋体"/>
          <w:b/>
          <w:bCs/>
          <w:spacing w:val="6"/>
          <w:sz w:val="24"/>
          <w:szCs w:val="24"/>
        </w:rPr>
      </w:pPr>
      <w:r>
        <w:rPr>
          <w:rFonts w:hint="eastAsia" w:ascii="宋体" w:hAnsi="宋体" w:eastAsia="宋体" w:cs="宋体"/>
          <w:b/>
          <w:bCs/>
          <w:spacing w:val="6"/>
          <w:sz w:val="24"/>
          <w:szCs w:val="24"/>
          <w:lang w:eastAsia="zh-CN"/>
        </w:rPr>
        <w:t>（</w:t>
      </w:r>
      <w:r>
        <w:rPr>
          <w:rFonts w:hint="eastAsia" w:ascii="宋体" w:hAnsi="宋体" w:eastAsia="宋体" w:cs="宋体"/>
          <w:b/>
          <w:bCs/>
          <w:spacing w:val="6"/>
          <w:sz w:val="24"/>
          <w:szCs w:val="24"/>
          <w:lang w:val="en-US" w:eastAsia="zh-CN"/>
        </w:rPr>
        <w:t>2</w:t>
      </w:r>
      <w:r>
        <w:rPr>
          <w:rFonts w:hint="eastAsia" w:ascii="宋体" w:hAnsi="宋体" w:eastAsia="宋体" w:cs="宋体"/>
          <w:b/>
          <w:bCs/>
          <w:spacing w:val="6"/>
          <w:sz w:val="24"/>
          <w:szCs w:val="24"/>
          <w:lang w:eastAsia="zh-CN"/>
        </w:rPr>
        <w:t>）</w:t>
      </w:r>
      <w:r>
        <w:rPr>
          <w:rFonts w:hint="eastAsia" w:ascii="宋体" w:hAnsi="宋体" w:eastAsia="宋体" w:cs="宋体"/>
          <w:b/>
          <w:bCs/>
          <w:spacing w:val="6"/>
          <w:sz w:val="24"/>
          <w:szCs w:val="24"/>
        </w:rPr>
        <w:t>项目要求</w:t>
      </w:r>
    </w:p>
    <w:p w14:paraId="48695634">
      <w:pPr>
        <w:keepNext w:val="0"/>
        <w:keepLines w:val="0"/>
        <w:pageBreakBefore w:val="0"/>
        <w:kinsoku/>
        <w:wordWrap/>
        <w:overflowPunct/>
        <w:topLinePunct w:val="0"/>
        <w:autoSpaceDE/>
        <w:autoSpaceDN/>
        <w:bidi w:val="0"/>
        <w:adjustRightInd/>
        <w:snapToGrid/>
        <w:spacing w:line="360" w:lineRule="auto"/>
        <w:ind w:right="0" w:firstLine="504" w:firstLineChars="200"/>
        <w:textAlignment w:val="auto"/>
        <w:rPr>
          <w:rFonts w:hint="eastAsia" w:ascii="宋体" w:hAnsi="宋体" w:eastAsia="宋体" w:cs="宋体"/>
          <w:sz w:val="24"/>
          <w:szCs w:val="24"/>
          <w:lang w:eastAsia="zh-CN"/>
        </w:rPr>
      </w:pPr>
      <w:r>
        <w:rPr>
          <w:rFonts w:hint="eastAsia" w:ascii="宋体" w:hAnsi="宋体" w:eastAsia="宋体" w:cs="宋体"/>
          <w:spacing w:val="6"/>
          <w:sz w:val="24"/>
          <w:szCs w:val="24"/>
          <w:lang w:val="en-US" w:eastAsia="zh-CN"/>
        </w:rPr>
        <w:t>1）</w:t>
      </w:r>
      <w:r>
        <w:rPr>
          <w:rFonts w:hint="eastAsia" w:ascii="宋体" w:hAnsi="宋体" w:eastAsia="宋体" w:cs="宋体"/>
          <w:spacing w:val="6"/>
          <w:sz w:val="24"/>
          <w:szCs w:val="24"/>
        </w:rPr>
        <w:t>技术要求</w:t>
      </w:r>
      <w:r>
        <w:rPr>
          <w:rFonts w:hint="eastAsia" w:ascii="宋体" w:hAnsi="宋体" w:eastAsia="宋体" w:cs="宋体"/>
          <w:sz w:val="24"/>
          <w:szCs w:val="24"/>
          <w:lang w:eastAsia="zh-CN"/>
        </w:rPr>
        <w:t>：</w:t>
      </w:r>
    </w:p>
    <w:p w14:paraId="5754DC9B">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 xml:space="preserve">按照残疾人个性化需求，分类开展服务，通过基本生活照料和护理、生活自理能力训练、社会适应能力辅导、康复护理和劳动技能训练、辅助运动和运动功能训练、残疾人生活和健康知识宣讲等方面的社会服务等服务使残疾人真正感受到政府的关心。 </w:t>
      </w:r>
    </w:p>
    <w:p w14:paraId="56F05429">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2）服务时间及人员要求：</w:t>
      </w:r>
    </w:p>
    <w:p w14:paraId="0607564E">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服务时间要求：居家安养服务采取政府购买服务的形式，按服务24次确定为1人次，每人次购买标准2500元。个别服务对象确需长期服务或多次服务的，按具体服务时间或服务的次数确定人次。每次服务不少于4小时。</w:t>
      </w:r>
    </w:p>
    <w:p w14:paraId="66F32251">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服务人员要求：</w:t>
      </w:r>
    </w:p>
    <w:p w14:paraId="2A74767B">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①配备不少于1名专职的管理人员</w:t>
      </w:r>
    </w:p>
    <w:p w14:paraId="4CA3E9A2">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eastAsia="宋体" w:cs="宋体"/>
          <w:i w:val="0"/>
          <w:iCs w:val="0"/>
          <w:caps w:val="0"/>
          <w:color w:val="333333"/>
          <w:spacing w:val="0"/>
          <w:sz w:val="24"/>
          <w:szCs w:val="24"/>
          <w:highlight w:val="none"/>
          <w:shd w:val="clear" w:color="auto" w:fill="FFFFFF"/>
          <w:vertAlign w:val="baseline"/>
          <w:lang w:val="en-US" w:eastAsia="zh-CN"/>
        </w:rPr>
        <w:t>a</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 具有社会工作、社会福利、特殊教育、康复、医疗等相关学历或相关专业培训。</w:t>
      </w:r>
    </w:p>
    <w:p w14:paraId="339823D0">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eastAsia="宋体" w:cs="宋体"/>
          <w:i w:val="0"/>
          <w:iCs w:val="0"/>
          <w:caps w:val="0"/>
          <w:color w:val="333333"/>
          <w:spacing w:val="0"/>
          <w:sz w:val="24"/>
          <w:szCs w:val="24"/>
          <w:highlight w:val="none"/>
          <w:shd w:val="clear" w:color="auto" w:fill="FFFFFF"/>
          <w:vertAlign w:val="baseline"/>
          <w:lang w:val="en-US" w:eastAsia="zh-CN"/>
        </w:rPr>
        <w:t>b</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.熟悉残疾人相关法律法规与政策，掌握残疾人托养的相关知识。</w:t>
      </w:r>
    </w:p>
    <w:p w14:paraId="6A7E81D9">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②配备各类专业人员</w:t>
      </w:r>
    </w:p>
    <w:p w14:paraId="60FE6742">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eastAsia="宋体" w:cs="宋体"/>
          <w:i w:val="0"/>
          <w:iCs w:val="0"/>
          <w:caps w:val="0"/>
          <w:color w:val="333333"/>
          <w:spacing w:val="0"/>
          <w:sz w:val="24"/>
          <w:szCs w:val="24"/>
          <w:highlight w:val="none"/>
          <w:shd w:val="clear" w:color="auto" w:fill="FFFFFF"/>
          <w:vertAlign w:val="baseline"/>
          <w:lang w:val="en-US" w:eastAsia="zh-CN"/>
        </w:rPr>
        <w:t>a</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.有一定数量的专业人员以便于提供相关专业服务，具体包括从事残疾人居家托养的社会工作人员:残疾人就业服务指导或心理咨询、疏导的专业人员</w:t>
      </w:r>
      <w:r>
        <w:rPr>
          <w:rFonts w:hint="eastAsia" w:eastAsia="宋体" w:cs="宋体"/>
          <w:i w:val="0"/>
          <w:iCs w:val="0"/>
          <w:caps w:val="0"/>
          <w:color w:val="333333"/>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专业医务人员或康复技术人员、精神卫生医师、专业心理治疗师或心理咨询师:专业财务人员至少1名。</w:t>
      </w:r>
    </w:p>
    <w:p w14:paraId="126EE44E">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eastAsia="宋体" w:cs="宋体"/>
          <w:i w:val="0"/>
          <w:iCs w:val="0"/>
          <w:caps w:val="0"/>
          <w:color w:val="333333"/>
          <w:spacing w:val="0"/>
          <w:sz w:val="24"/>
          <w:szCs w:val="24"/>
          <w:highlight w:val="none"/>
          <w:shd w:val="clear" w:color="auto" w:fill="FFFFFF"/>
          <w:vertAlign w:val="baseline"/>
          <w:lang w:val="en-US" w:eastAsia="zh-CN"/>
        </w:rPr>
        <w:t>b</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.专业人员应具有从事职业须持有有效的从业资格和职业资格证书</w:t>
      </w:r>
      <w:r>
        <w:rPr>
          <w:rFonts w:hint="eastAsia" w:eastAsia="宋体" w:cs="宋体"/>
          <w:i w:val="0"/>
          <w:iCs w:val="0"/>
          <w:caps w:val="0"/>
          <w:color w:val="333333"/>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有本人身份证明、健康证明等。</w:t>
      </w:r>
    </w:p>
    <w:p w14:paraId="0FE95125">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pPr>
      <w:r>
        <w:rPr>
          <w:rFonts w:hint="eastAsia" w:eastAsia="宋体" w:cs="宋体"/>
          <w:i w:val="0"/>
          <w:iCs w:val="0"/>
          <w:caps w:val="0"/>
          <w:color w:val="333333"/>
          <w:spacing w:val="0"/>
          <w:sz w:val="24"/>
          <w:szCs w:val="24"/>
          <w:highlight w:val="none"/>
          <w:shd w:val="clear" w:color="auto" w:fill="FFFFFF"/>
          <w:vertAlign w:val="baseline"/>
          <w:lang w:val="en-US" w:eastAsia="zh-CN"/>
        </w:rPr>
        <w:t>③</w:t>
      </w:r>
      <w:r>
        <w:rPr>
          <w:rFonts w:hint="eastAsia" w:eastAsia="宋体" w:cs="宋体"/>
          <w:i w:val="0"/>
          <w:iCs w:val="0"/>
          <w:caps w:val="0"/>
          <w:color w:val="auto"/>
          <w:spacing w:val="0"/>
          <w:sz w:val="24"/>
          <w:szCs w:val="24"/>
          <w:highlight w:val="none"/>
          <w:shd w:val="clear" w:color="auto" w:fill="FFFFFF"/>
          <w:vertAlign w:val="baseline"/>
          <w:lang w:val="en-US" w:eastAsia="zh-CN"/>
        </w:rPr>
        <w:t>配备</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一定数量、相对稳定的服务人员</w:t>
      </w:r>
    </w:p>
    <w:p w14:paraId="0D2E2B10">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pPr>
      <w:r>
        <w:rPr>
          <w:rFonts w:hint="eastAsia" w:eastAsia="宋体" w:cs="宋体"/>
          <w:i w:val="0"/>
          <w:iCs w:val="0"/>
          <w:caps w:val="0"/>
          <w:color w:val="auto"/>
          <w:spacing w:val="0"/>
          <w:sz w:val="24"/>
          <w:szCs w:val="24"/>
          <w:highlight w:val="none"/>
          <w:shd w:val="clear" w:color="auto" w:fill="FFFFFF"/>
          <w:vertAlign w:val="baseline"/>
          <w:lang w:val="en-US" w:eastAsia="zh-CN"/>
        </w:rPr>
        <w:t>a.</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配备有一定数量、稳定合作关系的服务人员以便于提供相关社会服务，具体包括家政服务人员、护工人员</w:t>
      </w:r>
      <w:r>
        <w:rPr>
          <w:rFonts w:hint="eastAsia" w:eastAsia="宋体" w:cs="宋体"/>
          <w:i w:val="0"/>
          <w:iCs w:val="0"/>
          <w:caps w:val="0"/>
          <w:color w:val="auto"/>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居家托养服务人员。</w:t>
      </w:r>
    </w:p>
    <w:p w14:paraId="26CB379C">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default" w:ascii="宋体" w:hAnsi="宋体" w:eastAsia="宋体" w:cs="宋体"/>
          <w:i w:val="0"/>
          <w:iCs w:val="0"/>
          <w:caps w:val="0"/>
          <w:color w:val="auto"/>
          <w:spacing w:val="0"/>
          <w:sz w:val="24"/>
          <w:szCs w:val="24"/>
          <w:highlight w:val="none"/>
          <w:shd w:val="clear" w:color="auto" w:fill="FFFFFF"/>
          <w:vertAlign w:val="baseline"/>
          <w:lang w:val="en-US" w:eastAsia="zh-CN"/>
        </w:rPr>
      </w:pPr>
      <w:r>
        <w:rPr>
          <w:rFonts w:hint="eastAsia" w:eastAsia="宋体" w:cs="宋体"/>
          <w:i w:val="0"/>
          <w:iCs w:val="0"/>
          <w:caps w:val="0"/>
          <w:color w:val="auto"/>
          <w:spacing w:val="0"/>
          <w:sz w:val="24"/>
          <w:szCs w:val="24"/>
          <w:highlight w:val="none"/>
          <w:shd w:val="clear" w:color="auto" w:fill="FFFFFF"/>
          <w:vertAlign w:val="baseline"/>
          <w:lang w:val="en-US" w:eastAsia="zh-CN"/>
        </w:rPr>
        <w:t>b.</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服务人员从事职业应经相关行业部门的认可，需持证上岗的职业应按有关法律法规规定持有效的从业资格和职业资格证书</w:t>
      </w:r>
      <w:r>
        <w:rPr>
          <w:rFonts w:hint="eastAsia" w:eastAsia="宋体" w:cs="宋体"/>
          <w:i w:val="0"/>
          <w:iCs w:val="0"/>
          <w:caps w:val="0"/>
          <w:color w:val="auto"/>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有本人身份证明、健康证明等</w:t>
      </w:r>
      <w:r>
        <w:rPr>
          <w:rFonts w:hint="eastAsia" w:eastAsia="宋体" w:cs="宋体"/>
          <w:i w:val="0"/>
          <w:iCs w:val="0"/>
          <w:caps w:val="0"/>
          <w:color w:val="auto"/>
          <w:spacing w:val="0"/>
          <w:sz w:val="24"/>
          <w:szCs w:val="24"/>
          <w:highlight w:val="none"/>
          <w:shd w:val="clear" w:color="auto" w:fill="FFFFFF"/>
          <w:vertAlign w:val="baseline"/>
          <w:lang w:val="en-US" w:eastAsia="zh-CN"/>
        </w:rPr>
        <w:t>；</w:t>
      </w:r>
      <w:r>
        <w:rPr>
          <w:rFonts w:hint="eastAsia" w:ascii="宋体" w:hAnsi="宋体" w:eastAsia="宋体" w:cs="宋体"/>
          <w:i w:val="0"/>
          <w:iCs w:val="0"/>
          <w:caps w:val="0"/>
          <w:color w:val="auto"/>
          <w:spacing w:val="0"/>
          <w:sz w:val="24"/>
          <w:szCs w:val="24"/>
          <w:highlight w:val="none"/>
          <w:shd w:val="clear" w:color="auto" w:fill="FFFFFF"/>
          <w:vertAlign w:val="baseline"/>
          <w:lang w:val="en-US" w:eastAsia="zh-CN"/>
        </w:rPr>
        <w:t>接受过残疾人身心知识与托养服务培训。</w:t>
      </w:r>
    </w:p>
    <w:p w14:paraId="6F5B8C41">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eastAsia="宋体" w:cs="宋体"/>
          <w:i w:val="0"/>
          <w:iCs w:val="0"/>
          <w:caps w:val="0"/>
          <w:color w:val="333333"/>
          <w:spacing w:val="0"/>
          <w:sz w:val="24"/>
          <w:szCs w:val="24"/>
          <w:highlight w:val="none"/>
          <w:shd w:val="clear" w:color="auto" w:fill="FFFFFF"/>
          <w:vertAlign w:val="baseline"/>
          <w:lang w:val="en-US" w:eastAsia="zh-CN"/>
        </w:rPr>
        <w:t>④</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服务人员须遵纪守法，遵守职业道德，尊重和善待残疾人，对待服务对象应文明友善、耐心细致，熟练掌握相应的业务知识和岗位技能。</w:t>
      </w:r>
    </w:p>
    <w:p w14:paraId="7B6D8AB0">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default"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3）其它技术要求：</w:t>
      </w:r>
    </w:p>
    <w:p w14:paraId="0543E46D">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2" w:firstLineChars="200"/>
        <w:jc w:val="left"/>
        <w:textAlignment w:val="auto"/>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t>生活照料和护理</w:t>
      </w:r>
    </w:p>
    <w:p w14:paraId="379E807F">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①承担或协助服务对象整理家庭环境卫生。</w:t>
      </w:r>
    </w:p>
    <w:p w14:paraId="5E84227D">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②承担或协助服务对象整理个人卫生。</w:t>
      </w:r>
    </w:p>
    <w:p w14:paraId="2F51364D">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③上门送餐或在服务对象家中协助准备膳食, 可根据情况提供帮助进食服务。</w:t>
      </w:r>
    </w:p>
    <w:p w14:paraId="5885D5E6">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④经过合法的委托手续，可协助办理家庭日常事务。</w:t>
      </w:r>
    </w:p>
    <w:p w14:paraId="31C9DF42">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⑤可陪同在服务对象居住附近安全合理的地区进行户外活动。</w:t>
      </w:r>
    </w:p>
    <w:p w14:paraId="34B3FE71">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⑥其他合法、安全并经所在服务机构批准同意提供的服务。</w:t>
      </w:r>
    </w:p>
    <w:p w14:paraId="35B9F0BE">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2" w:firstLineChars="200"/>
        <w:jc w:val="left"/>
        <w:textAlignment w:val="auto"/>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t>社会适应能力辅导</w:t>
      </w:r>
    </w:p>
    <w:p w14:paraId="4C6249DA">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①根据个别化居家托养方案，辅导服务对象的社会适应能力，并适时调整计划。</w:t>
      </w:r>
    </w:p>
    <w:p w14:paraId="027D8462">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②协助有需要的服务对象通过网络、电视、广播、报纸杂志等多种方式了解新闻和知识。</w:t>
      </w:r>
    </w:p>
    <w:p w14:paraId="0D86622F">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③对有需求的服务对象提供简单的家务劳动训练和辅导。</w:t>
      </w:r>
    </w:p>
    <w:p w14:paraId="20A510B8">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④对服务对象提供手工编织、绘画或其他适宜在家庭环境中进行的职业康复功能训练和辅导。</w:t>
      </w:r>
    </w:p>
    <w:p w14:paraId="4CC79BE6">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⑤协助陪同服务对象参与与其身体状况相适应的文体活动及有益身心的公益活动。</w:t>
      </w:r>
    </w:p>
    <w:p w14:paraId="3C54FC6F">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⑥其他合法、安全、力所能及并经所在服务机构批准同意提供的服务。</w:t>
      </w:r>
    </w:p>
    <w:p w14:paraId="0B094DAE">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⑦经常与服务对象交流，了解其心理特点，对需要进行心理干预者提供建议和服务。</w:t>
      </w:r>
    </w:p>
    <w:p w14:paraId="08577590">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2" w:firstLineChars="200"/>
        <w:jc w:val="left"/>
        <w:textAlignment w:val="auto"/>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t>运动功能训练</w:t>
      </w:r>
    </w:p>
    <w:p w14:paraId="2636A5B4">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①指导并协助有需要的服务对象或其监护人正确使用配发的康复辅助器具。</w:t>
      </w:r>
    </w:p>
    <w:p w14:paraId="018EDCF8">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②指导并协助有需要的服务对象或其监护人正确使用保健仪器。</w:t>
      </w:r>
    </w:p>
    <w:p w14:paraId="070FFE9B">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2" w:firstLineChars="200"/>
        <w:jc w:val="left"/>
        <w:textAlignment w:val="auto"/>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b/>
          <w:bCs/>
          <w:i w:val="0"/>
          <w:iCs w:val="0"/>
          <w:caps w:val="0"/>
          <w:color w:val="333333"/>
          <w:spacing w:val="0"/>
          <w:sz w:val="24"/>
          <w:szCs w:val="24"/>
          <w:highlight w:val="none"/>
          <w:shd w:val="clear" w:color="auto" w:fill="FFFFFF"/>
          <w:vertAlign w:val="baseline"/>
          <w:lang w:val="en-US" w:eastAsia="zh-CN"/>
        </w:rPr>
        <w:t>（3）</w:t>
      </w:r>
      <w:r>
        <w:rPr>
          <w:rFonts w:hint="eastAsia" w:cs="宋体"/>
          <w:b/>
          <w:bCs/>
          <w:i w:val="0"/>
          <w:iCs w:val="0"/>
          <w:caps w:val="0"/>
          <w:color w:val="333333"/>
          <w:spacing w:val="0"/>
          <w:sz w:val="24"/>
          <w:szCs w:val="24"/>
          <w:highlight w:val="none"/>
          <w:shd w:val="clear" w:color="auto" w:fill="FFFFFF"/>
          <w:vertAlign w:val="baseline"/>
          <w:lang w:val="en-US" w:eastAsia="zh-CN"/>
        </w:rPr>
        <w:t>质量要求</w:t>
      </w:r>
    </w:p>
    <w:p w14:paraId="3E3D821E">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1）进度要求</w:t>
      </w:r>
    </w:p>
    <w:p w14:paraId="71728589">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在规定时间内完成服务。</w:t>
      </w:r>
    </w:p>
    <w:p w14:paraId="4F79569C">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2）成果交付要求</w:t>
      </w:r>
    </w:p>
    <w:p w14:paraId="19A80F44">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机构承接的</w:t>
      </w:r>
      <w:r>
        <w:rPr>
          <w:rFonts w:hint="eastAsia" w:cs="宋体"/>
          <w:i w:val="0"/>
          <w:iCs w:val="0"/>
          <w:caps w:val="0"/>
          <w:color w:val="333333"/>
          <w:spacing w:val="0"/>
          <w:sz w:val="24"/>
          <w:szCs w:val="24"/>
          <w:highlight w:val="none"/>
          <w:shd w:val="clear" w:color="auto" w:fill="FFFFFF"/>
          <w:vertAlign w:val="baseline"/>
          <w:lang w:val="en-US" w:eastAsia="zh-CN"/>
        </w:rPr>
        <w:t>安</w:t>
      </w: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养服务类型应符合《就业年龄段智力、精神及重度肢体残疾人托养服务规范》（GB/T 37516—2019）、中国残联《政府购买残疾人托养服务技术标准与规范》和《残疾人服务机构管理办法》有关规定（照护服务参照执行）。</w:t>
      </w:r>
    </w:p>
    <w:p w14:paraId="4923CEA9">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3）质量验收标准或规范</w:t>
      </w:r>
    </w:p>
    <w:p w14:paraId="7CB7E688">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残疾人服务行业验收标准。</w:t>
      </w:r>
    </w:p>
    <w:p w14:paraId="54E5D04E">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4）违约责任</w:t>
      </w:r>
    </w:p>
    <w:p w14:paraId="770F16BB">
      <w:pPr>
        <w:pStyle w:val="4"/>
        <w:keepNext w:val="0"/>
        <w:keepLines w:val="0"/>
        <w:pageBreakBefore w:val="0"/>
        <w:widowControl/>
        <w:numPr>
          <w:ilvl w:val="2"/>
          <w:numId w:val="0"/>
        </w:numPr>
        <w:suppressLineNumbers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jc w:val="left"/>
        <w:textAlignment w:val="auto"/>
        <w:rPr>
          <w:rFonts w:hint="eastAsia" w:ascii="宋体" w:hAnsi="宋体" w:eastAsia="宋体" w:cs="宋体"/>
          <w:spacing w:val="9"/>
          <w:position w:val="21"/>
          <w:sz w:val="24"/>
          <w:szCs w:val="24"/>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lang w:val="en-US" w:eastAsia="zh-CN"/>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14:paraId="7B2F3A4D">
      <w:pPr>
        <w:pStyle w:val="4"/>
        <w:shd w:val="clear" w:color="auto" w:fill="FFFFFF"/>
        <w:spacing w:before="0" w:beforeAutospacing="0" w:after="0" w:afterAutospacing="0" w:line="360" w:lineRule="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第四条  服务费用及支付方式</w:t>
      </w:r>
    </w:p>
    <w:p w14:paraId="7E3F2E23">
      <w:pPr>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1、本项目服务费暂定为人民币：</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元）     </w:t>
      </w:r>
    </w:p>
    <w:p w14:paraId="60BBE362">
      <w:pPr>
        <w:tabs>
          <w:tab w:val="left" w:pos="1260"/>
          <w:tab w:val="left" w:pos="1890"/>
        </w:tabs>
        <w:spacing w:line="360" w:lineRule="auto"/>
        <w:ind w:right="-192" w:rightChars="-80" w:firstLine="480" w:firstLineChars="200"/>
        <w:jc w:val="left"/>
        <w:rPr>
          <w:rFonts w:hint="eastAsia" w:ascii="宋体" w:hAnsi="宋体" w:eastAsia="宋体" w:cs="宋体"/>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val="zh-CN"/>
        </w:rPr>
        <w:t>、</w:t>
      </w:r>
      <w:r>
        <w:rPr>
          <w:rFonts w:hint="eastAsia" w:ascii="宋体" w:hAnsi="宋体" w:eastAsia="宋体" w:cs="宋体"/>
          <w:sz w:val="24"/>
          <w:szCs w:val="24"/>
        </w:rPr>
        <w:t>付款前，乙方应向甲方出具等额合法的增值税发票，否则，甲方有权拒绝付款且不承担任何违约责任，且乙方不得以此为由停止履行本合同项下的任意义务；</w:t>
      </w:r>
    </w:p>
    <w:p w14:paraId="6FAF3AB4">
      <w:pPr>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val="zh-CN"/>
        </w:rPr>
        <w:t>、结算方式：银行转账。</w:t>
      </w:r>
    </w:p>
    <w:p w14:paraId="6670CC9F">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第五条  知识产权</w:t>
      </w:r>
    </w:p>
    <w:p w14:paraId="79912A0E">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乙方应保证所提供的服务或其任何一部分均不会侵犯任何第三方的专利权、商标权或著作权。</w:t>
      </w:r>
    </w:p>
    <w:p w14:paraId="09E63673">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第六条  无产权瑕疵条款</w:t>
      </w:r>
    </w:p>
    <w:p w14:paraId="39D68181">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乙方保证所提供的服务的所有权完全属于乙方且无任何抵押、查封等产权瑕疵。如有产权瑕疵的，视为乙方违约。乙方应负担由此而产生的一切损失。</w:t>
      </w:r>
    </w:p>
    <w:p w14:paraId="75802291">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第七条   履约保证金（本项目不需要）</w:t>
      </w:r>
    </w:p>
    <w:p w14:paraId="173CB0F7">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1、乙方在签订本合同之前，向甲方构提交履约保证金人民币</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26D5C68D">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2、履约保证金的有效期为乙方承诺的服务期限。</w:t>
      </w:r>
    </w:p>
    <w:p w14:paraId="2850B586">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3、履约保证金作为违约金的一部分及用于补偿甲方因乙方不能履行合同义务而蒙受的损失。</w:t>
      </w:r>
    </w:p>
    <w:p w14:paraId="1A7C85CE">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4、服务期限结束后，甲方财务部门接到甲方确认本合同服务等约定事项已经履行完毕的正式书面文件后的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日内，向乙方退还履约保证金。</w:t>
      </w:r>
    </w:p>
    <w:p w14:paraId="30345913">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5、乙方可以履约担保函的形式交纳履约保证金（格式见附件1）。</w:t>
      </w:r>
    </w:p>
    <w:p w14:paraId="2E8FA46C">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第八条  甲方的权利和义务</w:t>
      </w:r>
    </w:p>
    <w:p w14:paraId="440B5761">
      <w:pPr>
        <w:pStyle w:val="4"/>
        <w:shd w:val="clear" w:color="auto" w:fill="FFFFFF"/>
        <w:spacing w:before="0" w:beforeAutospacing="0" w:after="0" w:afterAutospacing="0"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color w:val="000000"/>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4CD77374">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2、甲方有权依据双方签订的考评办法对乙方提供的服务进行定期考评。当考评结果未达到标准时，有权依据考评办法约定的数额扣除履约保证金。</w:t>
      </w:r>
    </w:p>
    <w:p w14:paraId="5CB2C4E6">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3、负责检查监督乙方管理工作的实施及制度的执行情况。</w:t>
      </w:r>
    </w:p>
    <w:p w14:paraId="57A5053A">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4、根据本合同规定，按时向乙方支付应付服务费用。</w:t>
      </w:r>
    </w:p>
    <w:p w14:paraId="282EB043">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5、国家法律、法规所规定由甲方承担的其它责任。</w:t>
      </w:r>
    </w:p>
    <w:p w14:paraId="5288E621">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第九条  乙方的权利和义务</w:t>
      </w:r>
    </w:p>
    <w:p w14:paraId="75CE48A9">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1、对本合同规定的委托服务范围内的项目享有管理权及服务义务。</w:t>
      </w:r>
    </w:p>
    <w:p w14:paraId="1758FA91">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2、根据本合同的规定向甲方收取相关服务费用，并有权在本项目管理范围内管理及合理使用。</w:t>
      </w:r>
    </w:p>
    <w:p w14:paraId="56E8D4F0">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3、及时向甲方通告本项目服务范围内有关服务的重大事项，及时配合处理投诉。</w:t>
      </w:r>
    </w:p>
    <w:p w14:paraId="64FECB52">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4、接受项目行业管理部门及政府有关部门的指导，接受甲方的监督。</w:t>
      </w:r>
    </w:p>
    <w:p w14:paraId="2BB30E76">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5、国家法律、法规所规定由乙方承担的其它责任。</w:t>
      </w:r>
    </w:p>
    <w:p w14:paraId="4ED93087">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第十条  违约责任</w:t>
      </w:r>
    </w:p>
    <w:p w14:paraId="359BD92B">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1、甲乙双方必须遵守本合同并执行合同中的各项规定，保证本合同的正常履行。</w:t>
      </w:r>
    </w:p>
    <w:p w14:paraId="47D8A0CC">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3A9A56">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第十一条  不可抗力事件处理</w:t>
      </w:r>
    </w:p>
    <w:p w14:paraId="3A89C7A7">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1、在合同有效期内，任何一方因不可抗力事件导致不能履行合同，则合同履行期可延长，其延长期与不可抗力影响期相同。</w:t>
      </w:r>
    </w:p>
    <w:p w14:paraId="6472D250">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2、不可抗力事件发生后，应立即通知对方，并寄送有关权威机构出具的证明。</w:t>
      </w:r>
    </w:p>
    <w:p w14:paraId="5507D114">
      <w:pPr>
        <w:pStyle w:val="4"/>
        <w:shd w:val="clear" w:color="auto" w:fill="FFFFFF"/>
        <w:spacing w:before="0" w:beforeAutospacing="0" w:after="0" w:afterAutospacing="0"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color w:val="000000"/>
          <w:sz w:val="24"/>
          <w:szCs w:val="24"/>
        </w:rPr>
        <w:t>3、不可抗力事件延续</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天以上，双方应通过友好协商，确定是否继续履行合同</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Start w:id="22" w:name="_Toc232492933"/>
      <w:bookmarkStart w:id="23" w:name="_Toc241833908"/>
      <w:bookmarkStart w:id="24" w:name="_Toc251768867"/>
      <w:bookmarkStart w:id="25" w:name="_Toc225654649"/>
      <w:bookmarkStart w:id="26" w:name="_Toc185395254"/>
      <w:bookmarkStart w:id="27" w:name="_Toc237145411"/>
      <w:bookmarkStart w:id="28" w:name="_Toc238984980"/>
      <w:bookmarkStart w:id="29" w:name="_Toc225670756"/>
      <w:bookmarkStart w:id="30" w:name="_Toc239568423"/>
      <w:bookmarkStart w:id="31" w:name="_Toc225244857"/>
      <w:bookmarkStart w:id="32" w:name="_Toc247334846"/>
      <w:bookmarkStart w:id="33" w:name="_Toc211911353"/>
      <w:bookmarkStart w:id="34" w:name="_Toc211854454"/>
      <w:bookmarkStart w:id="35" w:name="_Toc212019599"/>
      <w:bookmarkStart w:id="36" w:name="_Toc239233919"/>
      <w:bookmarkStart w:id="37" w:name="_Toc286993792"/>
      <w:r>
        <w:rPr>
          <w:rFonts w:hint="eastAsia" w:ascii="宋体" w:hAnsi="宋体" w:eastAsia="宋体" w:cs="宋体"/>
          <w:color w:val="000000"/>
          <w:sz w:val="24"/>
          <w:szCs w:val="24"/>
        </w:rPr>
        <w:t>。</w:t>
      </w:r>
      <w:r>
        <w:rPr>
          <w:rFonts w:hint="eastAsia" w:ascii="宋体" w:hAnsi="宋体" w:eastAsia="宋体" w:cs="宋体"/>
          <w:b/>
          <w:bCs/>
          <w:color w:val="000000"/>
          <w:sz w:val="24"/>
          <w:szCs w:val="24"/>
        </w:rPr>
        <w:t xml:space="preserve"> </w:t>
      </w:r>
    </w:p>
    <w:p w14:paraId="4CF329DE">
      <w:pPr>
        <w:pStyle w:val="4"/>
        <w:shd w:val="clear" w:color="auto" w:fill="FFFFFF"/>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b/>
          <w:bCs/>
          <w:color w:val="000000"/>
          <w:sz w:val="24"/>
          <w:szCs w:val="24"/>
        </w:rPr>
        <w:t>第十二条  合同的变更和终止</w:t>
      </w:r>
    </w:p>
    <w:p w14:paraId="0285A7CD">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除《中华人民共和国政府采购法》第49条、第50条第二款规定的情形外，本合同一经签订，甲乙双方不得擅自变更、中止或终止合同。</w:t>
      </w:r>
    </w:p>
    <w:p w14:paraId="66D16F93">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第十三条  解决合同纠纷的方式</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84E92E">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1、在执行本合同中发生的或与本合同有关的争端，双方应通过友好协商解决，经协商在XX天内不能达成协议时，则采取以下第2种方式解决争议：</w:t>
      </w:r>
    </w:p>
    <w:p w14:paraId="38F110A1">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（1）向甲方所在地有管辖权的人民法院提起诉讼；</w:t>
      </w:r>
    </w:p>
    <w:p w14:paraId="19499AA1">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rPr>
        <w:t>西安</w:t>
      </w:r>
      <w:r>
        <w:rPr>
          <w:rFonts w:hint="eastAsia" w:ascii="宋体" w:hAnsi="宋体" w:eastAsia="宋体" w:cs="宋体"/>
          <w:color w:val="000000"/>
          <w:sz w:val="24"/>
          <w:szCs w:val="24"/>
        </w:rPr>
        <w:t>仲裁委员会按其仲裁规则申请仲裁。</w:t>
      </w:r>
    </w:p>
    <w:p w14:paraId="349CA974">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2、在仲裁期间，本合同应继续履行。</w:t>
      </w:r>
    </w:p>
    <w:p w14:paraId="08328AAC">
      <w:pPr>
        <w:pStyle w:val="4"/>
        <w:shd w:val="clear" w:color="auto" w:fill="FFFFFF"/>
        <w:spacing w:before="0" w:beforeAutospacing="0" w:after="0" w:afterAutospacing="0" w:line="360" w:lineRule="auto"/>
        <w:rPr>
          <w:rFonts w:hint="eastAsia" w:ascii="宋体" w:hAnsi="宋体" w:eastAsia="宋体" w:cs="宋体"/>
          <w:b/>
          <w:bCs/>
          <w:color w:val="000000"/>
          <w:sz w:val="24"/>
          <w:szCs w:val="24"/>
        </w:rPr>
      </w:pPr>
      <w:bookmarkStart w:id="38" w:name="_Toc286993793"/>
      <w:bookmarkStart w:id="39" w:name="_Toc225654650"/>
      <w:bookmarkStart w:id="40" w:name="_Toc247334847"/>
      <w:bookmarkStart w:id="41" w:name="_Toc225244858"/>
      <w:bookmarkStart w:id="42" w:name="_Toc211854455"/>
      <w:bookmarkStart w:id="43" w:name="_Toc239233920"/>
      <w:bookmarkStart w:id="44" w:name="_Toc282696231"/>
      <w:bookmarkStart w:id="45" w:name="_Toc283019219"/>
      <w:bookmarkStart w:id="46" w:name="_Toc239568424"/>
      <w:bookmarkStart w:id="47" w:name="_Toc212019600"/>
      <w:bookmarkStart w:id="48" w:name="_Toc211911354"/>
      <w:bookmarkStart w:id="49" w:name="_Toc225670757"/>
      <w:bookmarkStart w:id="50" w:name="_Toc185395255"/>
      <w:bookmarkStart w:id="51" w:name="_Toc238984981"/>
      <w:bookmarkStart w:id="52" w:name="_Toc237145412"/>
      <w:bookmarkStart w:id="53" w:name="_Toc232492934"/>
      <w:bookmarkStart w:id="54" w:name="_Toc241833909"/>
      <w:bookmarkStart w:id="55" w:name="_Toc251768868"/>
      <w:r>
        <w:rPr>
          <w:rFonts w:hint="eastAsia" w:ascii="宋体" w:hAnsi="宋体" w:eastAsia="宋体" w:cs="宋体"/>
          <w:b/>
          <w:bCs/>
          <w:color w:val="000000"/>
          <w:sz w:val="24"/>
          <w:szCs w:val="24"/>
        </w:rPr>
        <w:t>第十四条  合同</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hint="eastAsia" w:ascii="宋体" w:hAnsi="宋体" w:eastAsia="宋体" w:cs="宋体"/>
          <w:b/>
          <w:bCs/>
          <w:color w:val="000000"/>
          <w:sz w:val="24"/>
          <w:szCs w:val="24"/>
        </w:rPr>
        <w:t>生效及其他</w:t>
      </w:r>
    </w:p>
    <w:p w14:paraId="637A4E0D">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1、合同经双方法定代表人或授权委托代理人签字并加盖单位公章后生效。</w:t>
      </w:r>
    </w:p>
    <w:p w14:paraId="58D25E1C">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2、合同执行中涉及采购资金和采购内容修改或补充的，须经政府采购监管部门审批，并签书面补充协议报政府采购监督管理部门备案，方可作为主合同不可分割的一部分。</w:t>
      </w:r>
    </w:p>
    <w:p w14:paraId="5F65BD0A">
      <w:pPr>
        <w:pStyle w:val="4"/>
        <w:shd w:val="clear" w:color="auto" w:fill="FFFFFF"/>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3、本合同一式陆份，自双方签章之日起起效。甲方贰份，乙方贰份，政府采购代理机构壹份，同级财政部门备案壹份，具有同等法律效力。</w:t>
      </w:r>
    </w:p>
    <w:p w14:paraId="7FD951DA">
      <w:pPr>
        <w:pStyle w:val="3"/>
        <w:spacing w:line="348" w:lineRule="auto"/>
        <w:ind w:firstLine="0"/>
        <w:rPr>
          <w:rFonts w:hint="eastAsia" w:ascii="宋体" w:hAnsi="宋体" w:eastAsia="宋体" w:cs="宋体"/>
          <w:b/>
          <w:sz w:val="24"/>
          <w:szCs w:val="24"/>
        </w:rPr>
      </w:pPr>
      <w:r>
        <w:rPr>
          <w:rFonts w:hint="eastAsia" w:ascii="宋体" w:hAnsi="宋体" w:eastAsia="宋体" w:cs="宋体"/>
          <w:b/>
          <w:sz w:val="24"/>
          <w:szCs w:val="24"/>
        </w:rPr>
        <w:t>第十五条  附件</w:t>
      </w:r>
      <w:bookmarkEnd w:id="3"/>
    </w:p>
    <w:p w14:paraId="6A6BBC2E">
      <w:pPr>
        <w:snapToGrid w:val="0"/>
        <w:spacing w:line="34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cs="宋体"/>
          <w:sz w:val="24"/>
          <w:szCs w:val="24"/>
          <w:lang w:val="en-US" w:eastAsia="zh-CN"/>
        </w:rPr>
        <w:t>招标</w:t>
      </w:r>
      <w:r>
        <w:rPr>
          <w:rFonts w:hint="eastAsia" w:ascii="宋体" w:hAnsi="宋体" w:eastAsia="宋体" w:cs="宋体"/>
          <w:sz w:val="24"/>
          <w:szCs w:val="24"/>
        </w:rPr>
        <w:t>文件</w:t>
      </w:r>
    </w:p>
    <w:p w14:paraId="1576557A">
      <w:pPr>
        <w:snapToGrid w:val="0"/>
        <w:spacing w:line="34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2、项目修改澄清文件</w:t>
      </w:r>
    </w:p>
    <w:p w14:paraId="29326843">
      <w:pPr>
        <w:snapToGrid w:val="0"/>
        <w:spacing w:line="34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cs="宋体"/>
          <w:sz w:val="24"/>
          <w:szCs w:val="24"/>
          <w:lang w:val="en-US" w:eastAsia="zh-CN"/>
        </w:rPr>
        <w:t>投标</w:t>
      </w:r>
      <w:r>
        <w:rPr>
          <w:rFonts w:hint="eastAsia" w:ascii="宋体" w:hAnsi="宋体" w:eastAsia="宋体" w:cs="宋体"/>
          <w:sz w:val="24"/>
          <w:szCs w:val="24"/>
        </w:rPr>
        <w:t>文件</w:t>
      </w:r>
    </w:p>
    <w:p w14:paraId="3E5E8A9F">
      <w:pPr>
        <w:snapToGrid w:val="0"/>
        <w:spacing w:line="34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4、成交通知书</w:t>
      </w:r>
    </w:p>
    <w:p w14:paraId="2115C453">
      <w:pPr>
        <w:snapToGrid w:val="0"/>
        <w:spacing w:line="34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w:t>
      </w:r>
    </w:p>
    <w:p w14:paraId="58004A05">
      <w:pPr>
        <w:pStyle w:val="2"/>
        <w:rPr>
          <w:rFonts w:hint="eastAsia" w:ascii="宋体" w:hAnsi="宋体" w:eastAsia="宋体" w:cs="宋体"/>
          <w:sz w:val="24"/>
          <w:szCs w:val="24"/>
        </w:rPr>
      </w:pPr>
    </w:p>
    <w:p w14:paraId="17CCB65C">
      <w:pPr>
        <w:pStyle w:val="2"/>
        <w:rPr>
          <w:rFonts w:hint="eastAsia" w:ascii="宋体" w:hAnsi="宋体" w:eastAsia="宋体" w:cs="宋体"/>
          <w:sz w:val="24"/>
          <w:szCs w:val="24"/>
        </w:rPr>
      </w:pPr>
    </w:p>
    <w:p w14:paraId="27D04D6F">
      <w:pPr>
        <w:rPr>
          <w:rFonts w:hint="eastAsia"/>
        </w:rPr>
      </w:pPr>
    </w:p>
    <w:p w14:paraId="66752F18">
      <w:pPr>
        <w:pStyle w:val="2"/>
        <w:rPr>
          <w:rFonts w:hint="eastAsia" w:ascii="宋体" w:hAnsi="宋体" w:eastAsia="宋体" w:cs="宋体"/>
          <w:sz w:val="24"/>
          <w:szCs w:val="24"/>
        </w:rPr>
      </w:pPr>
    </w:p>
    <w:p w14:paraId="07A2494B">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甲方（盖章）：                             乙方（盖章）：</w:t>
      </w:r>
    </w:p>
    <w:p w14:paraId="16AD975F">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法定代表人（委托代理人）：                 法定代表人（委托代理人）：</w:t>
      </w:r>
    </w:p>
    <w:p w14:paraId="77B85C95">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地    址：                                 地    址：</w:t>
      </w:r>
    </w:p>
    <w:p w14:paraId="7091CC7F">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                                 开户银行：</w:t>
      </w:r>
    </w:p>
    <w:p w14:paraId="1F4283BA">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kern w:val="0"/>
          <w:sz w:val="24"/>
          <w:szCs w:val="24"/>
        </w:rPr>
        <w:t>银行帐号：                                 银行帐号：</w:t>
      </w:r>
    </w:p>
    <w:p w14:paraId="5C293D0D">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    话：                                 电    话：</w:t>
      </w:r>
    </w:p>
    <w:p w14:paraId="08CA5880">
      <w:pPr>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传    真：                                 传    真：</w:t>
      </w:r>
    </w:p>
    <w:p w14:paraId="19A236D1">
      <w:pPr>
        <w:spacing w:line="360" w:lineRule="auto"/>
      </w:pPr>
      <w:r>
        <w:rPr>
          <w:rFonts w:hint="eastAsia" w:ascii="宋体" w:hAnsi="宋体" w:eastAsia="宋体" w:cs="宋体"/>
          <w:sz w:val="24"/>
          <w:szCs w:val="24"/>
        </w:rPr>
        <w:t xml:space="preserve">签约日期：    年    月   日                签约日期：    年    月   日  </w:t>
      </w:r>
      <w:bookmarkStart w:id="56" w:name="_GoBack"/>
      <w:bookmarkEnd w:id="5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B77B9"/>
    <w:rsid w:val="4EAB7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Normal Indent"/>
    <w:basedOn w:val="1"/>
    <w:qFormat/>
    <w:uiPriority w:val="0"/>
    <w:pPr>
      <w:ind w:firstLine="420"/>
    </w:pPr>
    <w:rPr>
      <w:sz w:val="14"/>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
    <w:name w:val="样式 首行缩进:  2 字符"/>
    <w:qFormat/>
    <w:uiPriority w:val="0"/>
    <w:pPr>
      <w:spacing w:line="400" w:lineRule="exact"/>
      <w:ind w:firstLine="200" w:firstLineChars="200"/>
    </w:pPr>
    <w:rPr>
      <w:rFonts w:ascii="Calibri" w:hAnsi="Calibri" w:eastAsia="宋体" w:cs="宋体"/>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2025-10-10T08:17:00Z</dcterms:created>
  <dc:creator>三鑫财务</dc:creator>
  <cp:lastModifiedBy>三鑫财务</cp:lastModifiedBy>
  <dcterms:modified xsi:type="dcterms:W3CDTF">2025-10-10T08:18:43Z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9276C4E54D8A40C9A56240081F8EC765_11</vt:lpwstr>
  </property>
  <property fmtid="{D5CDD505-2E9C-101B-9397-08002B2CF9AE}" pid="4" name="KSOTemplateDocerSaveRecord">
    <vt:lpwstr>eyJoZGlkIjoiMWNkZDc0Mzk5YWZhY2I0ZDlhMzNmNGNkNjcyMTBlMmYiLCJ1c2VySWQiOiIzMjc2Mzk1MjUifQ==</vt:lpwstr>
  </property>
</Properties>
</file>