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B839E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color w:val="auto"/>
          <w:sz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color w:val="auto"/>
          <w:sz w:val="32"/>
          <w:highlight w:val="none"/>
        </w:rPr>
        <w:t>方案</w:t>
      </w:r>
    </w:p>
    <w:p w14:paraId="4F6796C5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3E67F660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供应商应按照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文件要求，根据“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采购需求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”的内容及评标办法作出全面响应，自行编制和提交编制方案。</w:t>
      </w:r>
    </w:p>
    <w:p w14:paraId="2F3BB489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 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文件的要求，依据评审方法“</w:t>
      </w:r>
      <w:r>
        <w:rPr>
          <w:rFonts w:hint="eastAsia" w:ascii="宋体" w:hAnsi="宋体" w:eastAsia="宋体" w:cs="宋体"/>
          <w:b/>
          <w:bCs/>
        </w:rPr>
        <w:t>评审要素及分值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”相关内容编写，格式自拟。</w:t>
      </w:r>
    </w:p>
    <w:p w14:paraId="002FDD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44A5B"/>
    <w:rsid w:val="68E4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2025-10-10T08:52:00Z</dcterms:created>
  <dc:creator>三鑫财务</dc:creator>
  <cp:lastModifiedBy>三鑫财务</cp:lastModifiedBy>
  <dcterms:modified xsi:type="dcterms:W3CDTF">2025-10-10T08:52:08Z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47E6CAF605A949F98DAB0B7C4F212EAB_11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