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版本号：JXZB2025-W208520251021002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2025年区级衔接资金新市街办孙陈村基础设施建设项目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JXZB2025-W2085</w:t>
      </w:r>
      <w:r>
        <w:br/>
      </w:r>
      <w:r>
        <w:br/>
      </w:r>
      <w:r>
        <w:br/>
      </w:r>
    </w:p>
    <w:p>
      <w:pPr>
        <w:pStyle w:val="null3"/>
        <w:jc w:val="center"/>
        <w:outlineLvl w:val="2"/>
      </w:pPr>
      <w:r>
        <w:rPr>
          <w:rFonts w:ascii="仿宋_GB2312" w:hAnsi="仿宋_GB2312" w:cs="仿宋_GB2312" w:eastAsia="仿宋_GB2312"/>
          <w:sz w:val="28"/>
          <w:b/>
        </w:rPr>
        <w:t>西安市临潼区新市街道办事处</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西安市临潼区新市街道办事处</w:t>
      </w:r>
      <w:r>
        <w:rPr>
          <w:rFonts w:ascii="仿宋_GB2312" w:hAnsi="仿宋_GB2312" w:cs="仿宋_GB2312" w:eastAsia="仿宋_GB2312"/>
        </w:rPr>
        <w:t>委托，拟对</w:t>
      </w:r>
      <w:r>
        <w:rPr>
          <w:rFonts w:ascii="仿宋_GB2312" w:hAnsi="仿宋_GB2312" w:cs="仿宋_GB2312" w:eastAsia="仿宋_GB2312"/>
        </w:rPr>
        <w:t>2025年区级衔接资金新市街办孙陈村基础设施建设项目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JXZB2025-W2085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2025年区级衔接资金新市街办孙陈村基础设施建设项目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新市街办孙陈村基础设施建设项目，项目地点位于新市街办孙陈村。主要工程内容为铺设沥青混凝土路面7069m²，修筑排水明渠370m，埋设DN300排水管道325m，埋设DN400排水管道650m等工程。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采购包1（2025年区级衔接资金新市街办孙陈村基础设施建设项目）：属于专门面向中小企业采购。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2、法定代表人授权委托书：提供法定代表人授权书（附法定代表人、被授权人身份证复印件）及被授权人身份证原件（法定代表人直接参加投标，须提供法定代表人身份证明及身份证原件）；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3、企业资质：供应商须具备市政公用工程施工总承包三级及以上资质，具有有效的安全生产许可证；</w:t>
      </w:r>
    </w:p>
    <w:p>
      <w:pPr>
        <w:pStyle w:val="null3"/>
      </w:pPr>
      <w:r>
        <w:rPr>
          <w:rFonts w:ascii="仿宋_GB2312" w:hAnsi="仿宋_GB2312" w:cs="仿宋_GB2312" w:eastAsia="仿宋_GB2312"/>
        </w:rPr>
        <w:t>4、拟派项目负责人资质和专业要求：拟派项目负责人须具备市政公用工程二级及以上注册建造师执业资格，具有安全生产考核合格证，且在本单位注册，无在建工程并提供承诺；</w:t>
      </w:r>
    </w:p>
    <w:p>
      <w:pPr>
        <w:pStyle w:val="null3"/>
      </w:pPr>
      <w:r>
        <w:rPr>
          <w:rFonts w:ascii="仿宋_GB2312" w:hAnsi="仿宋_GB2312" w:cs="仿宋_GB2312" w:eastAsia="仿宋_GB2312"/>
        </w:rPr>
        <w:t>5、相关承诺：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p>
      <w:pPr>
        <w:pStyle w:val="null3"/>
      </w:pPr>
      <w:r>
        <w:rPr>
          <w:rFonts w:ascii="仿宋_GB2312" w:hAnsi="仿宋_GB2312" w:cs="仿宋_GB2312" w:eastAsia="仿宋_GB2312"/>
        </w:rPr>
        <w:t>6、非联合体投标声明函：提供非联合体投标声明函；</w:t>
      </w:r>
    </w:p>
    <w:p>
      <w:pPr>
        <w:pStyle w:val="null3"/>
      </w:pPr>
      <w:r>
        <w:rPr>
          <w:rFonts w:ascii="仿宋_GB2312" w:hAnsi="仿宋_GB2312" w:cs="仿宋_GB2312" w:eastAsia="仿宋_GB2312"/>
        </w:rPr>
        <w:t>7、控股关系：单位负责人为同一人或者存在直接控股、管理关系的不同供应商，不得参加同一合同项下的投标活动。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西安市临潼区新市街道办事处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西安市临潼区新市街道中段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13891815921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西安市高新区丈八街办唐延路11号禾盛京广中心E座23层52304室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13279426901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发的《招标代理服务收费管理暂行办法》（计价格[2002]1980号）和国家发展改革委员会办公厅颁发的《关于招标代理服务收费有关问题的通知》（发改办价格[2003]857号）有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西安市临潼区新市街道办事处</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西安市临潼区新市街道办事处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西安市临潼区新市街道办事处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联系人：李堃</w:t>
      </w:r>
    </w:p>
    <w:p>
      <w:pPr>
        <w:pStyle w:val="null3"/>
      </w:pPr>
      <w:r>
        <w:rPr>
          <w:rFonts w:ascii="仿宋_GB2312" w:hAnsi="仿宋_GB2312" w:cs="仿宋_GB2312" w:eastAsia="仿宋_GB2312"/>
        </w:rPr>
        <w:t>联系电话：13279426901</w:t>
      </w:r>
    </w:p>
    <w:p>
      <w:pPr>
        <w:pStyle w:val="null3"/>
      </w:pPr>
      <w:r>
        <w:rPr>
          <w:rFonts w:ascii="仿宋_GB2312" w:hAnsi="仿宋_GB2312" w:cs="仿宋_GB2312" w:eastAsia="仿宋_GB2312"/>
        </w:rPr>
        <w:t>地址：西安市高新区丈八街办唐延路11号禾盛京广中心E座23层52304室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2025年区级衔接资金新市街办孙陈村基础设施建设项目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标的名称：2025年区级衔接资金新市街办孙陈村基础设施建设项目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1、施工范围：主要工程内容为铺设沥青混凝土路面</w:t>
            </w:r>
            <w:r>
              <w:rPr>
                <w:rFonts w:ascii="仿宋_GB2312" w:hAnsi="仿宋_GB2312" w:cs="仿宋_GB2312" w:eastAsia="仿宋_GB2312"/>
                <w:sz w:val="24"/>
              </w:rPr>
              <w:t>7069m²，修筑排水明渠370m，埋设DN300排水管道325m，埋设DN400排水管道650m等工程。</w:t>
            </w:r>
            <w:r>
              <w:rPr>
                <w:rFonts w:ascii="仿宋_GB2312" w:hAnsi="仿宋_GB2312" w:cs="仿宋_GB2312" w:eastAsia="仿宋_GB2312"/>
                <w:sz w:val="24"/>
              </w:rPr>
              <w:t>（</w:t>
            </w:r>
            <w:r>
              <w:rPr>
                <w:rFonts w:ascii="仿宋_GB2312" w:hAnsi="仿宋_GB2312" w:cs="仿宋_GB2312" w:eastAsia="仿宋_GB2312"/>
                <w:sz w:val="24"/>
                <w:color w:val="000000"/>
              </w:rPr>
              <w:t>详见工程量清单</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rPr>
              <w:t>2、质量标准：符合国家现行有关施工质量验收规范“合格”要求标准</w:t>
            </w:r>
          </w:p>
          <w:p>
            <w:pPr>
              <w:pStyle w:val="null3"/>
            </w:pPr>
            <w:r>
              <w:rPr>
                <w:rFonts w:ascii="仿宋_GB2312" w:hAnsi="仿宋_GB2312" w:cs="仿宋_GB2312" w:eastAsia="仿宋_GB2312"/>
                <w:sz w:val="24"/>
              </w:rPr>
              <w:t>3、工期：自合同签订之日起60日历天</w:t>
            </w:r>
          </w:p>
          <w:p>
            <w:pPr>
              <w:pStyle w:val="null3"/>
            </w:pPr>
            <w:r>
              <w:rPr>
                <w:rFonts w:ascii="仿宋_GB2312" w:hAnsi="仿宋_GB2312" w:cs="仿宋_GB2312" w:eastAsia="仿宋_GB2312"/>
                <w:sz w:val="24"/>
              </w:rPr>
              <w:t>4、质保期：一年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（一）计划工期：自合同签订之日起60个日历天。 （二）质量保修期：一年。 （三）付款方式：本工程无预付款，工程进度款跟随项目进度付，工程完成验收合格后，付合同价款的97%，留 3%做为质保金。 质保期为【1】年，质保期满无质量问题一次性无息付清余款。乙方应于甲方每次付款前提供等额合规发票，否则甲方有权拒付合同款项，且不承担任何责任，乙方亦不得以此为由拒绝履行任意合同义务。 （四）验收交付标准和方法：达到国家现行施工验收规范“合格”标准。 （五）违约责任与解决争议的方法：在本合同履行过程中如发生争议，双方应当协商解决。 双方不愿协商解决或者协商不成的，可向采购人所在地有管辖权的人民法院提起诉讼。 （六）计价依据： 《陕西省建设工程工程量清单计价计算标准》（2025）、《陕西省房屋建筑与装饰、市政、园林绿化工程基价表》（2025）及相关配套文件。 （七）需要落实的政府采购政策： （1）《国务院办公厅关于建立政府强制采购节能产品制度的通知》（国办发〔2007〕51号）；（2）《财政部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有效的主体资格证明:提供合格有效的法人或者其他组织的营业执照等证明文件，自然人的身份证明;供应商是法人或其他组织的应提供营业执照等证明文件，供应商是自然人的应提供有效的自然人身份证明;(2)根据临财函(2025)199号《关于扩大政府采购供应商基本资格条件承诺制试点工作范围的通知》，供应商出具参加本次政府采购活动供应商资格条件承诺(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供应商未提供资格信用承诺函的，应当按照《中华人民共和国政府采购法》及其实施条例的相关规定提供相应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拟派项目负责人须具备市政公用工程二级及以上注册建造师执业资格，具有安全生产考核合格证，且在本单位注册，无在建工程并提供承诺；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相关承诺</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非联合体投标声明函</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总体施工组织布置、施工方案、方法与技术措施，满足采购人需求。总体施工组织布置及施工方案、方法与技术科学、合理、可行得12分；总体施工组织布置及施工案、方法与技术较科学、较合理、较可行得9分；总体施工组织布置及施工方案、方法与技术不科学、不合理、可行性较差得5分；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完善、合理、专业的团队人员（包含项目经理和其他专业人员），满足项目需求，评委根据供应商提供人员的从业年限、有效证件、业绩等证明材料自主赋分。团队人员完善、合理、专业得10分；团队人员较完善、较合理、较专业得7分；团队人员不完善、不合理、不专业得3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质量保证体系及措施科学、合理、可行，得6分；质量保证体系及措施较科学、较合理、较可行得4分；质量保证体系及措施不合理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针对本项目提供的项目安全保证措施科学、合理、可行，满足采购人需求。安全保证措施科学、合理、可行得6分；安全保证措施较科学、较合理、较可行得4分；安全保证措施不合理得2分；未提供的得0分。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项目进度计划和工期目标科学、合理、可行得6分；项目进度计划和工期目标科学、合理性一般、可行性一般得4分；项目进度计划和工期目标科学、合理性、可行性较差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风险预测和防范措施</w:t>
            </w:r>
          </w:p>
        </w:tc>
        <w:tc>
          <w:tcPr>
            <w:tcW w:type="dxa" w:w="2492"/>
          </w:tcPr>
          <w:p>
            <w:pPr>
              <w:pStyle w:val="null3"/>
            </w:pPr>
            <w:r>
              <w:rPr>
                <w:rFonts w:ascii="仿宋_GB2312" w:hAnsi="仿宋_GB2312" w:cs="仿宋_GB2312" w:eastAsia="仿宋_GB2312"/>
              </w:rPr>
              <w:t>项目风险预测与防范，事故应急预案。项目风险预测与防范，事故应急预案科学、合理、可行得6分；项目风险预测与防范，事故应急预案较科学、较合理、较可行得4分；项目风险预测与防范，事故应急预案较差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机具、设备和劳动力配备方案</w:t>
            </w:r>
          </w:p>
        </w:tc>
        <w:tc>
          <w:tcPr>
            <w:tcW w:type="dxa" w:w="2492"/>
          </w:tcPr>
          <w:p>
            <w:pPr>
              <w:pStyle w:val="null3"/>
            </w:pPr>
            <w:r>
              <w:rPr>
                <w:rFonts w:ascii="仿宋_GB2312" w:hAnsi="仿宋_GB2312" w:cs="仿宋_GB2312" w:eastAsia="仿宋_GB2312"/>
              </w:rPr>
              <w:t>根据拟投入本项目主要机具、设备和劳动力配置情况，磋商小组自主打分。拟投入的主要机具、设备和劳动力充分、能满足项目需要得6分；拟投入的主要机具、设备和劳动力较充分、基本满足项目需要得4分；拟投入的主要机具、设备和劳动力不充分、不能完全满足项目需要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2022年1月1日以来承接过类似项目的合同证明（以合同的签订日期为准），每提供一个得2分，满分10分 （文件中附成交/中标通知书或合同复印件）。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提供质量保修承诺得2分，未提供，不得分。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后续服务保证措施</w:t>
            </w:r>
          </w:p>
        </w:tc>
        <w:tc>
          <w:tcPr>
            <w:tcW w:type="dxa" w:w="2492"/>
          </w:tcPr>
          <w:p>
            <w:pPr>
              <w:pStyle w:val="null3"/>
            </w:pPr>
            <w:r>
              <w:rPr>
                <w:rFonts w:ascii="仿宋_GB2312" w:hAnsi="仿宋_GB2312" w:cs="仿宋_GB2312" w:eastAsia="仿宋_GB2312"/>
              </w:rPr>
              <w:t>后续服务保障措施具体、详细、可行得6分，后续服务措施较具体、较详细、较可行得4分；后续服务措施一般具体、一般详细、一般可行得2分；未提供的得0分。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 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