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pPr>
        <w:pStyle w:val="2"/>
        <w:rPr>
          <w:rFonts w:hint="eastAsia" w:ascii="宋体" w:hAnsi="宋体" w:eastAsia="宋体" w:cs="宋体"/>
          <w:b/>
          <w:bCs/>
          <w:kern w:val="0"/>
          <w:sz w:val="36"/>
          <w:szCs w:val="36"/>
        </w:rPr>
      </w:pPr>
    </w:p>
    <w:p>
      <w:pPr>
        <w:pStyle w:val="2"/>
        <w:rPr>
          <w:rFonts w:hint="eastAsia" w:ascii="宋体" w:hAnsi="宋体" w:eastAsia="宋体" w:cs="宋体"/>
          <w:b/>
          <w:bCs/>
          <w:kern w:val="0"/>
          <w:sz w:val="36"/>
          <w:szCs w:val="36"/>
        </w:rPr>
      </w:pPr>
    </w:p>
    <w:p>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总日历天数：日历天</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24961"/>
      <w:bookmarkStart w:id="1" w:name="_Toc18738"/>
      <w:r>
        <w:rPr>
          <w:rFonts w:hint="eastAsia" w:ascii="宋体" w:hAnsi="宋体" w:eastAsia="宋体" w:cs="宋体"/>
          <w:b/>
          <w:bCs/>
          <w:sz w:val="24"/>
          <w:szCs w:val="24"/>
          <w:highlight w:val="none"/>
        </w:rPr>
        <w:t>一、词语定义及合同文件</w:t>
      </w:r>
      <w:bookmarkEnd w:id="0"/>
      <w:bookmarkEnd w:id="1"/>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17082"/>
      <w:bookmarkStart w:id="3" w:name="_Toc5228"/>
      <w:bookmarkStart w:id="4" w:name="_Toc24439"/>
      <w:r>
        <w:rPr>
          <w:rFonts w:hint="eastAsia" w:ascii="宋体" w:hAnsi="宋体" w:eastAsia="宋体" w:cs="宋体"/>
          <w:sz w:val="24"/>
          <w:szCs w:val="24"/>
          <w:highlight w:val="none"/>
        </w:rPr>
        <w:t>１、词语定义</w:t>
      </w:r>
      <w:bookmarkEnd w:id="2"/>
      <w:bookmarkEnd w:id="3"/>
      <w:bookmarkEnd w:id="4"/>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2459"/>
      <w:bookmarkStart w:id="6" w:name="_Toc9632"/>
      <w:bookmarkStart w:id="7" w:name="_Toc19000"/>
      <w:r>
        <w:rPr>
          <w:rFonts w:hint="eastAsia" w:ascii="宋体" w:hAnsi="宋体" w:eastAsia="宋体" w:cs="宋体"/>
          <w:sz w:val="24"/>
          <w:szCs w:val="24"/>
          <w:highlight w:val="none"/>
        </w:rPr>
        <w:t>２、合同文件及解释顺序</w:t>
      </w:r>
      <w:bookmarkEnd w:id="5"/>
      <w:bookmarkEnd w:id="6"/>
      <w:bookmarkEnd w:id="7"/>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4387"/>
      <w:bookmarkStart w:id="9" w:name="_Toc17921"/>
      <w:r>
        <w:rPr>
          <w:rFonts w:hint="eastAsia" w:ascii="宋体" w:hAnsi="宋体" w:eastAsia="宋体" w:cs="宋体"/>
          <w:sz w:val="24"/>
          <w:szCs w:val="24"/>
          <w:highlight w:val="none"/>
        </w:rPr>
        <w:t>3、语言文字和适用法律、标准及规范</w:t>
      </w:r>
      <w:bookmarkEnd w:id="8"/>
      <w:bookmarkEnd w:id="9"/>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3856"/>
      <w:bookmarkStart w:id="11" w:name="_Toc6987"/>
      <w:bookmarkStart w:id="12" w:name="_Toc16777"/>
      <w:r>
        <w:rPr>
          <w:rFonts w:hint="eastAsia" w:ascii="宋体" w:hAnsi="宋体" w:eastAsia="宋体" w:cs="宋体"/>
          <w:sz w:val="24"/>
          <w:szCs w:val="24"/>
          <w:highlight w:val="none"/>
        </w:rPr>
        <w:t>４、图纸</w:t>
      </w:r>
      <w:bookmarkEnd w:id="10"/>
      <w:bookmarkEnd w:id="11"/>
      <w:bookmarkEnd w:id="12"/>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3934"/>
      <w:bookmarkStart w:id="14" w:name="_Toc2863"/>
      <w:r>
        <w:rPr>
          <w:rFonts w:hint="eastAsia" w:ascii="宋体" w:hAnsi="宋体" w:eastAsia="宋体" w:cs="宋体"/>
          <w:b/>
          <w:bCs/>
          <w:sz w:val="24"/>
          <w:szCs w:val="24"/>
          <w:highlight w:val="none"/>
        </w:rPr>
        <w:t>二、双方一般权利和义务</w:t>
      </w:r>
      <w:bookmarkEnd w:id="13"/>
      <w:bookmarkEnd w:id="14"/>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32429"/>
      <w:bookmarkStart w:id="16" w:name="_Toc596"/>
      <w:bookmarkStart w:id="17" w:name="_Toc6359"/>
      <w:r>
        <w:rPr>
          <w:rFonts w:hint="eastAsia" w:ascii="宋体" w:hAnsi="宋体" w:eastAsia="宋体" w:cs="宋体"/>
          <w:sz w:val="24"/>
          <w:szCs w:val="24"/>
          <w:highlight w:val="none"/>
        </w:rPr>
        <w:t>５、工程师</w:t>
      </w:r>
      <w:bookmarkEnd w:id="15"/>
      <w:bookmarkEnd w:id="16"/>
      <w:bookmarkEnd w:id="17"/>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25443"/>
      <w:bookmarkStart w:id="19" w:name="_Toc8214"/>
      <w:bookmarkStart w:id="20" w:name="_Toc21456"/>
      <w:r>
        <w:rPr>
          <w:rFonts w:hint="eastAsia" w:ascii="宋体" w:hAnsi="宋体" w:eastAsia="宋体" w:cs="宋体"/>
          <w:sz w:val="24"/>
          <w:szCs w:val="24"/>
          <w:highlight w:val="none"/>
        </w:rPr>
        <w:t>６、工程师的委派和指令</w:t>
      </w:r>
      <w:bookmarkEnd w:id="18"/>
      <w:bookmarkEnd w:id="19"/>
      <w:bookmarkEnd w:id="20"/>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30981"/>
      <w:bookmarkStart w:id="22" w:name="_Toc7583"/>
      <w:bookmarkStart w:id="23" w:name="_Toc32482"/>
      <w:r>
        <w:rPr>
          <w:rFonts w:hint="eastAsia" w:ascii="宋体" w:hAnsi="宋体" w:eastAsia="宋体" w:cs="宋体"/>
          <w:sz w:val="24"/>
          <w:szCs w:val="24"/>
          <w:highlight w:val="none"/>
        </w:rPr>
        <w:t>７、项目经理</w:t>
      </w:r>
      <w:bookmarkEnd w:id="21"/>
      <w:bookmarkEnd w:id="22"/>
      <w:bookmarkEnd w:id="23"/>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1026"/>
      <w:bookmarkStart w:id="25" w:name="_Toc3900"/>
      <w:bookmarkStart w:id="26" w:name="_Toc28537"/>
      <w:r>
        <w:rPr>
          <w:rFonts w:hint="eastAsia" w:ascii="宋体" w:hAnsi="宋体" w:eastAsia="宋体" w:cs="宋体"/>
          <w:sz w:val="24"/>
          <w:szCs w:val="24"/>
          <w:highlight w:val="none"/>
        </w:rPr>
        <w:t>８、发包人工作</w:t>
      </w:r>
      <w:bookmarkEnd w:id="24"/>
      <w:bookmarkEnd w:id="25"/>
      <w:bookmarkEnd w:id="26"/>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26372"/>
      <w:bookmarkStart w:id="28" w:name="_Toc6434"/>
      <w:bookmarkStart w:id="29" w:name="_Toc24727"/>
      <w:r>
        <w:rPr>
          <w:rFonts w:hint="eastAsia" w:ascii="宋体" w:hAnsi="宋体" w:eastAsia="宋体" w:cs="宋体"/>
          <w:sz w:val="24"/>
          <w:szCs w:val="24"/>
          <w:highlight w:val="none"/>
        </w:rPr>
        <w:t>９、承包人工作</w:t>
      </w:r>
      <w:bookmarkEnd w:id="27"/>
      <w:bookmarkEnd w:id="28"/>
      <w:bookmarkEnd w:id="29"/>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8179"/>
      <w:bookmarkStart w:id="31" w:name="_Toc15146"/>
      <w:bookmarkStart w:id="32" w:name="_Toc15294"/>
      <w:r>
        <w:rPr>
          <w:rFonts w:hint="eastAsia" w:ascii="宋体" w:hAnsi="宋体" w:eastAsia="宋体" w:cs="宋体"/>
          <w:b/>
          <w:bCs/>
          <w:sz w:val="24"/>
          <w:szCs w:val="24"/>
          <w:highlight w:val="none"/>
        </w:rPr>
        <w:t>三、施工组织设计和工期</w:t>
      </w:r>
      <w:bookmarkEnd w:id="30"/>
      <w:bookmarkEnd w:id="31"/>
      <w:bookmarkEnd w:id="32"/>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23286"/>
      <w:bookmarkStart w:id="34" w:name="_Toc18471"/>
      <w:bookmarkStart w:id="35" w:name="_Toc9560"/>
      <w:r>
        <w:rPr>
          <w:rFonts w:hint="eastAsia" w:ascii="宋体" w:hAnsi="宋体" w:eastAsia="宋体" w:cs="宋体"/>
          <w:b/>
          <w:bCs/>
          <w:sz w:val="24"/>
          <w:szCs w:val="24"/>
          <w:highlight w:val="none"/>
        </w:rPr>
        <w:t>四、质量与检验</w:t>
      </w:r>
      <w:bookmarkEnd w:id="33"/>
      <w:bookmarkEnd w:id="34"/>
      <w:bookmarkEnd w:id="35"/>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30393"/>
      <w:bookmarkStart w:id="37" w:name="_Toc12899"/>
      <w:bookmarkStart w:id="38" w:name="_Toc16919"/>
      <w:r>
        <w:rPr>
          <w:rFonts w:hint="eastAsia" w:ascii="宋体" w:hAnsi="宋体" w:eastAsia="宋体" w:cs="宋体"/>
          <w:b/>
          <w:bCs/>
          <w:sz w:val="24"/>
          <w:szCs w:val="24"/>
          <w:highlight w:val="none"/>
        </w:rPr>
        <w:t>五、安全防护、文明施工</w:t>
      </w:r>
      <w:bookmarkEnd w:id="36"/>
      <w:bookmarkEnd w:id="37"/>
      <w:bookmarkEnd w:id="38"/>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31232"/>
      <w:bookmarkStart w:id="40" w:name="_Toc21725"/>
      <w:bookmarkStart w:id="41" w:name="_Toc13138"/>
      <w:r>
        <w:rPr>
          <w:rFonts w:hint="eastAsia" w:ascii="宋体" w:hAnsi="宋体" w:eastAsia="宋体" w:cs="宋体"/>
          <w:b/>
          <w:bCs/>
          <w:sz w:val="24"/>
          <w:szCs w:val="24"/>
          <w:highlight w:val="none"/>
        </w:rPr>
        <w:t>六、合同价款</w:t>
      </w:r>
      <w:bookmarkEnd w:id="39"/>
      <w:bookmarkEnd w:id="40"/>
      <w:bookmarkEnd w:id="41"/>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3355"/>
      <w:bookmarkStart w:id="43" w:name="_Toc1992"/>
      <w:bookmarkStart w:id="44" w:name="_Toc6081"/>
      <w:r>
        <w:rPr>
          <w:rFonts w:hint="eastAsia" w:ascii="宋体" w:hAnsi="宋体" w:eastAsia="宋体" w:cs="宋体"/>
          <w:b/>
          <w:bCs/>
          <w:sz w:val="24"/>
          <w:szCs w:val="24"/>
          <w:highlight w:val="none"/>
        </w:rPr>
        <w:t>七、材料设备供应</w:t>
      </w:r>
      <w:bookmarkEnd w:id="42"/>
      <w:bookmarkEnd w:id="43"/>
      <w:bookmarkEnd w:id="44"/>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pPr>
        <w:keepNext w:val="0"/>
        <w:keepLines w:val="0"/>
        <w:pageBreakBefore w:val="0"/>
        <w:widowControl/>
        <w:kinsoku/>
        <w:wordWrap/>
        <w:overflowPunct/>
        <w:topLinePunct w:val="0"/>
        <w:bidi w:val="0"/>
        <w:spacing w:line="500" w:lineRule="exact"/>
        <w:jc w:val="both"/>
        <w:textAlignment w:val="auto"/>
        <w:rPr>
          <w:rFonts w:hint="eastAsia" w:ascii="宋体" w:hAnsi="宋体" w:eastAsia="宋体" w:cs="宋体"/>
          <w:b w:val="0"/>
          <w:bCs w:val="0"/>
          <w:kern w:val="0"/>
          <w:sz w:val="24"/>
          <w:szCs w:val="24"/>
          <w:highlight w:val="none"/>
        </w:rPr>
      </w:pPr>
    </w:p>
    <w:p>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p>
    <w:p>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    职务：</w:t>
      </w:r>
    </w:p>
    <w:p>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姓名：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kern w:val="0"/>
          <w:sz w:val="24"/>
          <w:szCs w:val="24"/>
          <w:highlight w:val="none"/>
          <w:u w:val="single"/>
        </w:rPr>
        <w:t>无</w:t>
      </w:r>
    </w:p>
    <w:p>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pPr>
        <w:keepNext w:val="0"/>
        <w:keepLines w:val="0"/>
        <w:pageBreakBefore w:val="0"/>
        <w:widowControl/>
        <w:kinsoku/>
        <w:wordWrap/>
        <w:overflowPunct/>
        <w:topLinePunct w:val="0"/>
        <w:bidi w:val="0"/>
        <w:spacing w:line="500" w:lineRule="exact"/>
        <w:ind w:firstLine="240" w:firstLineChars="1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 xml:space="preserve">  （3）采用可调价格合同，合同价款调整方法：</w:t>
      </w:r>
      <w:r>
        <w:rPr>
          <w:rFonts w:hint="eastAsia" w:ascii="宋体" w:hAnsi="宋体" w:eastAsia="宋体" w:cs="宋体"/>
          <w:kern w:val="0"/>
          <w:sz w:val="24"/>
          <w:szCs w:val="24"/>
          <w:highlight w:val="none"/>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eastAsia="宋体" w:cs="宋体"/>
          <w:color w:val="auto"/>
          <w:kern w:val="0"/>
          <w:sz w:val="24"/>
          <w:szCs w:val="24"/>
          <w:highlight w:val="none"/>
          <w:lang w:eastAsia="zh-CN"/>
        </w:rPr>
        <w:t>合同签订后</w:t>
      </w:r>
      <w:r>
        <w:rPr>
          <w:rFonts w:hint="eastAsia" w:ascii="宋体" w:hAnsi="宋体" w:eastAsia="宋体" w:cs="宋体"/>
          <w:color w:val="auto"/>
          <w:kern w:val="0"/>
          <w:sz w:val="24"/>
          <w:szCs w:val="24"/>
          <w:highlight w:val="none"/>
          <w:lang w:val="en-US" w:eastAsia="zh-CN"/>
        </w:rPr>
        <w:t>7日内，</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rPr>
        <w:t>竣工验收合格</w:t>
      </w:r>
      <w:r>
        <w:rPr>
          <w:rFonts w:hint="eastAsia" w:ascii="宋体" w:hAnsi="宋体" w:eastAsia="宋体" w:cs="宋体"/>
          <w:kern w:val="0"/>
          <w:sz w:val="24"/>
          <w:szCs w:val="24"/>
          <w:highlight w:val="none"/>
          <w:lang w:eastAsia="zh-CN"/>
        </w:rPr>
        <w:t>且</w:t>
      </w:r>
      <w:r>
        <w:rPr>
          <w:rFonts w:hint="eastAsia" w:ascii="宋体" w:hAnsi="宋体" w:eastAsia="宋体" w:cs="宋体"/>
          <w:kern w:val="0"/>
          <w:sz w:val="24"/>
          <w:szCs w:val="24"/>
          <w:highlight w:val="none"/>
        </w:rPr>
        <w:t>保洁、清场后支付</w:t>
      </w:r>
      <w:r>
        <w:rPr>
          <w:rFonts w:hint="eastAsia" w:ascii="宋体" w:hAnsi="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rPr>
        <w:t>%；其余</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%作为保修金；质保期满无质量问题，发包人无息退还剩余保修金。</w:t>
      </w:r>
    </w:p>
    <w:p>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bookmarkStart w:id="54" w:name="_GoBack"/>
      <w:bookmarkEnd w:id="54"/>
    </w:p>
    <w:p>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pPr>
        <w:pStyle w:val="2"/>
        <w:rPr>
          <w:rFonts w:hint="eastAsia"/>
        </w:rPr>
      </w:pPr>
    </w:p>
    <w:p>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45" w:name="_Toc6889"/>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96503226"/>
      <w:bookmarkStart w:id="47" w:name="_Toc296944565"/>
      <w:bookmarkStart w:id="48" w:name="_Toc296347225"/>
      <w:bookmarkStart w:id="49" w:name="_Toc296891266"/>
      <w:bookmarkStart w:id="50" w:name="_Toc296891054"/>
      <w:bookmarkStart w:id="51" w:name="_Toc296346727"/>
      <w:bookmarkStart w:id="52" w:name="_Toc267261693"/>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承包人在质量保修期内，按照有关法律、法规、规章的管理规定和双方约定，承担本工程质量保修责任。</w:t>
      </w:r>
    </w:p>
    <w:p>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1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2.保修金为工程竣工结</w:t>
      </w:r>
      <w:r>
        <w:rPr>
          <w:rFonts w:hint="eastAsia" w:ascii="宋体" w:hAnsi="宋体" w:eastAsia="宋体" w:cs="宋体"/>
          <w:kern w:val="0"/>
          <w:sz w:val="24"/>
          <w:szCs w:val="24"/>
          <w:highlight w:val="none"/>
        </w:rPr>
        <w:t xml:space="preserve">算审定总价的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3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%，在工程竣工结算时预留。质保期间无质量问题则于质保期后支付至保修金总额的</w:t>
      </w:r>
      <w:r>
        <w:rPr>
          <w:rFonts w:hint="eastAsia" w:ascii="宋体" w:hAnsi="宋体" w:eastAsia="宋体" w:cs="宋体"/>
          <w:b/>
          <w:kern w:val="0"/>
          <w:sz w:val="24"/>
          <w:szCs w:val="24"/>
          <w:highlight w:val="none"/>
          <w:u w:val="single"/>
        </w:rPr>
        <w:t xml:space="preserve"> </w:t>
      </w:r>
      <w:r>
        <w:rPr>
          <w:rFonts w:hint="eastAsia" w:ascii="宋体" w:hAnsi="宋体" w:eastAsia="宋体" w:cs="宋体"/>
          <w:b/>
          <w:kern w:val="0"/>
          <w:sz w:val="24"/>
          <w:szCs w:val="24"/>
          <w:highlight w:val="none"/>
          <w:u w:val="single"/>
          <w:lang w:val="en-US" w:eastAsia="zh-CN"/>
        </w:rPr>
        <w:t xml:space="preserve">100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%（无息）。</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4.发生紧急抢修事故的，承包人在接到事故通知后，应当立即到达事故现场抢修。</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6.质量保修完成后，由发包人组织验收。</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9.缺陷责任期内，承包人认真履行合同约定的责任，到期后，承包人向发包人申请返还保证金。</w:t>
      </w:r>
    </w:p>
    <w:p>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pPr>
        <w:keepNext w:val="0"/>
        <w:keepLines w:val="0"/>
        <w:pageBreakBefore w:val="0"/>
        <w:kinsoku/>
        <w:wordWrap/>
        <w:overflowPunct/>
        <w:topLinePunct w:val="0"/>
        <w:bidi w:val="0"/>
        <w:spacing w:line="500" w:lineRule="exact"/>
        <w:ind w:left="420" w:leftChars="200" w:firstLine="120" w:firstLineChars="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10.发包人和承包人对保证金预留、返还以及工程维修质量、费用有争议，按承包合同约定的争议和纠纷解决程序处理</w:t>
      </w:r>
    </w:p>
    <w:p>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pPr>
        <w:keepNext w:val="0"/>
        <w:keepLines w:val="0"/>
        <w:pageBreakBefore w:val="0"/>
        <w:kinsoku/>
        <w:wordWrap/>
        <w:overflowPunct/>
        <w:topLinePunct w:val="0"/>
        <w:bidi w:val="0"/>
        <w:spacing w:line="500" w:lineRule="exact"/>
        <w:ind w:firstLine="420"/>
        <w:textAlignment w:val="auto"/>
        <w:rPr>
          <w:rFonts w:hint="eastAsia" w:ascii="宋体" w:hAnsi="宋体" w:eastAsia="宋体" w:cs="宋体"/>
          <w:color w:val="000000"/>
          <w:sz w:val="24"/>
          <w:szCs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p>
    <w:bookmarkEnd w:id="53"/>
    <w:p>
      <w:pPr>
        <w:keepNext w:val="0"/>
        <w:keepLines w:val="0"/>
        <w:pageBreakBefore w:val="0"/>
        <w:kinsoku/>
        <w:wordWrap/>
        <w:overflowPunct/>
        <w:topLinePunct w:val="0"/>
        <w:bidi w:val="0"/>
        <w:adjustRightInd w:val="0"/>
        <w:snapToGrid w:val="0"/>
        <w:spacing w:line="500" w:lineRule="exact"/>
        <w:ind w:firstLine="360" w:firstLineChars="150"/>
        <w:textAlignment w:val="auto"/>
        <w:rPr>
          <w:rFonts w:hint="eastAsia" w:ascii="宋体" w:hAnsi="宋体" w:eastAsia="宋体" w:cs="宋体"/>
          <w:sz w:val="24"/>
          <w:szCs w:val="24"/>
        </w:rPr>
      </w:pPr>
    </w:p>
    <w:p>
      <w:pPr>
        <w:pStyle w:val="3"/>
        <w:keepNext w:val="0"/>
        <w:keepLines w:val="0"/>
        <w:pageBreakBefore w:val="0"/>
        <w:kinsoku/>
        <w:wordWrap/>
        <w:overflowPunct/>
        <w:topLinePunct w:val="0"/>
        <w:bidi w:val="0"/>
        <w:spacing w:line="500" w:lineRule="exact"/>
        <w:jc w:val="center"/>
        <w:textAlignment w:val="auto"/>
        <w:outlineLvl w:val="9"/>
        <w:rPr>
          <w:rFonts w:hint="eastAsia" w:ascii="宋体" w:hAnsi="宋体" w:eastAsia="宋体" w:cs="宋体"/>
          <w:sz w:val="24"/>
          <w:szCs w:val="24"/>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573E35ED"/>
    <w:rsid w:val="440F4D37"/>
    <w:rsid w:val="573E3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哆啦不懂A梦</cp:lastModifiedBy>
  <dcterms:modified xsi:type="dcterms:W3CDTF">2023-10-26T06:06:09Z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DB0713CEB5D64E5896D5D05CB9F69A43_11</vt:lpwstr>
  </property>
</Properties>
</file>