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989A6">
      <w:pPr>
        <w:pStyle w:val="5"/>
        <w:numPr>
          <w:ilvl w:val="0"/>
          <w:numId w:val="0"/>
        </w:numPr>
        <w:jc w:val="center"/>
        <w:outlineLvl w:val="1"/>
        <w:rPr>
          <w:rFonts w:hint="eastAsia" w:ascii="黑体" w:hAnsi="宋体" w:eastAsia="黑体"/>
          <w:sz w:val="44"/>
          <w:szCs w:val="44"/>
          <w:highlight w:val="none"/>
        </w:rPr>
      </w:pPr>
      <w:r>
        <w:rPr>
          <w:rFonts w:hint="eastAsia" w:ascii="黑体" w:hAnsi="宋体" w:eastAsia="黑体"/>
          <w:sz w:val="44"/>
          <w:szCs w:val="44"/>
          <w:highlight w:val="none"/>
        </w:rPr>
        <w:t>政府采购合同格式</w:t>
      </w:r>
    </w:p>
    <w:p w14:paraId="360B1B61">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07BEE22E">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044CA310">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47A8126F">
      <w:pPr>
        <w:pStyle w:val="6"/>
        <w:spacing w:line="360" w:lineRule="auto"/>
        <w:ind w:firstLine="420"/>
        <w:rPr>
          <w:rFonts w:hint="eastAsia" w:ascii="宋体" w:hAnsi="宋体" w:eastAsiaTheme="minorEastAsia"/>
          <w:sz w:val="21"/>
          <w:szCs w:val="21"/>
          <w:highlight w:val="none"/>
          <w:lang w:eastAsia="zh-CN"/>
        </w:rPr>
      </w:pPr>
      <w:r>
        <w:rPr>
          <w:rFonts w:hint="eastAsia" w:ascii="宋体" w:hAnsi="宋体"/>
          <w:sz w:val="21"/>
          <w:szCs w:val="21"/>
          <w:highlight w:val="none"/>
        </w:rPr>
        <w:t>采购人（甲方）：</w:t>
      </w:r>
    </w:p>
    <w:p w14:paraId="73597194">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28706D7D">
      <w:pPr>
        <w:pStyle w:val="6"/>
        <w:ind w:firstLine="562"/>
        <w:rPr>
          <w:rFonts w:hint="eastAsia" w:ascii="仿宋_GB2312" w:hAnsi="宋体" w:eastAsia="仿宋_GB2312"/>
          <w:b/>
          <w:sz w:val="28"/>
          <w:szCs w:val="28"/>
          <w:highlight w:val="none"/>
        </w:rPr>
      </w:pPr>
    </w:p>
    <w:p w14:paraId="022C3BB1">
      <w:pPr>
        <w:pStyle w:val="6"/>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r>
        <w:rPr>
          <w:rFonts w:hint="eastAsia" w:ascii="宋体" w:hAnsi="宋体"/>
          <w:sz w:val="21"/>
          <w:szCs w:val="21"/>
          <w:highlight w:val="none"/>
          <w:u w:val="single"/>
          <w:lang w:eastAsia="zh-CN"/>
        </w:rPr>
        <w:t>临潼主城区老旧基础设施提升改造项目监理</w:t>
      </w:r>
      <w:r>
        <w:rPr>
          <w:rFonts w:hint="eastAsia" w:ascii="宋体" w:hAnsi="宋体"/>
          <w:sz w:val="21"/>
          <w:szCs w:val="21"/>
          <w:highlight w:val="none"/>
        </w:rPr>
        <w:t>（采购项目编号：</w:t>
      </w:r>
      <w:r>
        <w:rPr>
          <w:rFonts w:hint="eastAsia" w:ascii="宋体" w:hAnsi="宋体"/>
          <w:sz w:val="21"/>
          <w:szCs w:val="21"/>
          <w:highlight w:val="none"/>
          <w:u w:val="single"/>
          <w:lang w:val="en-US" w:eastAsia="zh-CN"/>
        </w:rPr>
        <w:t>SXZH-2025-134</w:t>
      </w:r>
      <w:r>
        <w:rPr>
          <w:rFonts w:hint="eastAsia" w:ascii="宋体" w:hAnsi="宋体"/>
          <w:sz w:val="21"/>
          <w:szCs w:val="21"/>
          <w:highlight w:val="none"/>
        </w:rPr>
        <w:t>）的采购文件、响应文件等有关规定，为确保甲方采购项目的顺利实施，甲、乙双方在平等自愿原则下签订本合同，并共同遵守如下条款：</w:t>
      </w:r>
    </w:p>
    <w:p w14:paraId="135B3506">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r>
        <w:rPr>
          <w:rFonts w:hint="eastAsia" w:ascii="宋体" w:hAnsi="宋体"/>
          <w:b/>
          <w:sz w:val="30"/>
          <w:szCs w:val="30"/>
          <w:highlight w:val="none"/>
        </w:rPr>
        <w:t>项目基本情况</w:t>
      </w:r>
    </w:p>
    <w:p w14:paraId="2BF640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rPr>
          <w:rFonts w:hint="eastAsia" w:ascii="宋体" w:hAnsi="宋体" w:cs="宋体" w:eastAsiaTheme="minorEastAsia"/>
          <w:kern w:val="2"/>
          <w:sz w:val="21"/>
          <w:szCs w:val="21"/>
          <w:highlight w:val="none"/>
          <w:lang w:val="en-US" w:eastAsia="zh-CN" w:bidi="ar-SA"/>
        </w:rPr>
      </w:pPr>
      <w:r>
        <w:rPr>
          <w:rFonts w:hint="eastAsia" w:ascii="宋体" w:hAnsi="宋体" w:cs="宋体" w:eastAsiaTheme="minorEastAsia"/>
          <w:kern w:val="2"/>
          <w:sz w:val="21"/>
          <w:szCs w:val="21"/>
          <w:highlight w:val="none"/>
          <w:lang w:val="en-US" w:eastAsia="zh-CN" w:bidi="ar-SA"/>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r>
        <w:rPr>
          <w:rFonts w:hint="eastAsia" w:ascii="宋体" w:hAnsi="宋体" w:cs="宋体"/>
          <w:kern w:val="2"/>
          <w:sz w:val="21"/>
          <w:szCs w:val="21"/>
          <w:highlight w:val="none"/>
          <w:lang w:val="en-US" w:eastAsia="zh-CN" w:bidi="ar-SA"/>
        </w:rPr>
        <w:t>。</w:t>
      </w:r>
    </w:p>
    <w:p w14:paraId="10D87C9B">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highlight w:val="none"/>
        </w:rPr>
      </w:pPr>
      <w:r>
        <w:rPr>
          <w:rFonts w:hint="eastAsia" w:ascii="宋体" w:hAnsi="宋体"/>
          <w:b/>
          <w:sz w:val="30"/>
          <w:szCs w:val="30"/>
          <w:highlight w:val="none"/>
        </w:rPr>
        <w:t>合同期限</w:t>
      </w:r>
    </w:p>
    <w:p w14:paraId="37C21972">
      <w:pPr>
        <w:spacing w:line="360" w:lineRule="auto"/>
        <w:rPr>
          <w:rFonts w:hint="default" w:ascii="宋体" w:hAnsi="宋体" w:eastAsiaTheme="minorEastAsia"/>
          <w:szCs w:val="21"/>
          <w:highlight w:val="none"/>
          <w:u w:val="single"/>
          <w:lang w:val="en-US" w:eastAsia="zh-CN"/>
        </w:rPr>
      </w:pPr>
      <w:r>
        <w:rPr>
          <w:rFonts w:hint="default" w:ascii="宋体" w:hAnsi="宋体" w:eastAsiaTheme="minorEastAsia"/>
          <w:szCs w:val="21"/>
          <w:highlight w:val="none"/>
          <w:u w:val="single"/>
          <w:lang w:val="en-US" w:eastAsia="zh-CN"/>
        </w:rPr>
        <w:t>完成项目施工阶段全过程和保修阶段的全部监理工作内容</w:t>
      </w:r>
    </w:p>
    <w:p w14:paraId="28D8EEBA">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bookmarkStart w:id="0" w:name="_Toc211911348"/>
      <w:bookmarkStart w:id="1" w:name="_Toc247334841"/>
      <w:bookmarkStart w:id="2" w:name="_Toc239568418"/>
      <w:bookmarkStart w:id="3" w:name="_Toc225654644"/>
      <w:bookmarkStart w:id="4" w:name="_Toc232492928"/>
      <w:bookmarkStart w:id="5" w:name="_Toc211854449"/>
      <w:bookmarkStart w:id="6" w:name="_Toc239233914"/>
      <w:bookmarkStart w:id="7" w:name="_Toc251768862"/>
      <w:bookmarkStart w:id="8" w:name="_Toc185395249"/>
      <w:bookmarkStart w:id="9" w:name="_Toc237145406"/>
      <w:bookmarkStart w:id="10" w:name="_Toc286993786"/>
      <w:bookmarkStart w:id="11" w:name="_Toc283019214"/>
      <w:bookmarkStart w:id="12" w:name="_Toc225670751"/>
      <w:bookmarkStart w:id="13" w:name="_Toc225244852"/>
      <w:bookmarkStart w:id="14" w:name="_Toc212019594"/>
      <w:bookmarkStart w:id="15" w:name="_Toc282696226"/>
      <w:bookmarkStart w:id="16" w:name="_Toc241833903"/>
      <w:bookmarkStart w:id="17" w:name="_Toc238984975"/>
      <w:r>
        <w:rPr>
          <w:rFonts w:hint="eastAsia" w:ascii="宋体" w:hAnsi="宋体"/>
          <w:b/>
          <w:sz w:val="30"/>
          <w:szCs w:val="30"/>
          <w:highlight w:val="none"/>
        </w:rPr>
        <w:t>服务内容与质量标准</w:t>
      </w:r>
    </w:p>
    <w:p w14:paraId="2D0475D6">
      <w:pPr>
        <w:adjustRightInd w:val="0"/>
        <w:spacing w:line="360" w:lineRule="auto"/>
        <w:ind w:firstLine="420" w:firstLineChars="200"/>
        <w:jc w:val="left"/>
        <w:textAlignment w:val="baseline"/>
        <w:rPr>
          <w:rFonts w:hint="default" w:ascii="宋体" w:hAnsi="宋体"/>
          <w:bCs/>
          <w:szCs w:val="21"/>
          <w:highlight w:val="none"/>
          <w:u w:val="single"/>
          <w:lang w:val="en-US" w:eastAsia="zh-CN"/>
        </w:rPr>
      </w:pPr>
      <w:bookmarkStart w:id="52" w:name="_GoBack"/>
      <w:bookmarkEnd w:id="52"/>
    </w:p>
    <w:p w14:paraId="26FB5654">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highlight w:val="none"/>
        </w:rPr>
      </w:pPr>
      <w:r>
        <w:rPr>
          <w:rFonts w:hint="eastAsia" w:ascii="宋体" w:hAnsi="宋体"/>
          <w:b/>
          <w:sz w:val="30"/>
          <w:szCs w:val="30"/>
          <w:highlight w:val="none"/>
        </w:rPr>
        <w:t>服务费用</w:t>
      </w:r>
    </w:p>
    <w:p w14:paraId="3626F9EC">
      <w:pPr>
        <w:rPr>
          <w:rFonts w:hint="eastAsia" w:ascii="宋体" w:hAnsi="宋体"/>
          <w:szCs w:val="21"/>
          <w:highlight w:val="none"/>
          <w:lang w:val="en-US" w:eastAsia="zh-CN"/>
        </w:rPr>
      </w:pPr>
    </w:p>
    <w:p w14:paraId="3B4812FB">
      <w:pPr>
        <w:spacing w:before="120" w:beforeLines="50" w:after="120" w:afterLines="50" w:line="360" w:lineRule="auto"/>
        <w:ind w:firstLine="602" w:firstLineChars="200"/>
        <w:rPr>
          <w:rFonts w:hint="eastAsia" w:ascii="宋体" w:hAnsi="宋体"/>
          <w:b/>
          <w:sz w:val="30"/>
          <w:szCs w:val="30"/>
          <w:highlight w:val="none"/>
        </w:rPr>
      </w:pPr>
      <w:r>
        <w:rPr>
          <w:rFonts w:hint="eastAsia" w:ascii="宋体" w:hAnsi="宋体"/>
          <w:b/>
          <w:sz w:val="30"/>
          <w:szCs w:val="30"/>
          <w:highlight w:val="none"/>
        </w:rPr>
        <w:t xml:space="preserve">第五条 </w:t>
      </w:r>
      <w:r>
        <w:rPr>
          <w:rFonts w:hint="eastAsia" w:ascii="宋体" w:hAnsi="宋体"/>
          <w:b/>
          <w:szCs w:val="21"/>
          <w:highlight w:val="none"/>
        </w:rPr>
        <w:t xml:space="preserve"> </w:t>
      </w:r>
      <w:r>
        <w:rPr>
          <w:rFonts w:hint="eastAsia" w:ascii="宋体" w:hAnsi="宋体"/>
          <w:b/>
          <w:sz w:val="30"/>
          <w:szCs w:val="30"/>
          <w:highlight w:val="none"/>
        </w:rPr>
        <w:t>服务费支付方式</w:t>
      </w:r>
    </w:p>
    <w:p w14:paraId="622A2BD7">
      <w:pPr>
        <w:pStyle w:val="5"/>
        <w:rPr>
          <w:rFonts w:hint="eastAsia" w:ascii="宋体" w:hAnsi="宋体" w:cs="宋体" w:eastAsiaTheme="minorEastAsia"/>
          <w:kern w:val="2"/>
          <w:sz w:val="21"/>
          <w:szCs w:val="21"/>
          <w:highlight w:val="none"/>
          <w:lang w:val="en-US" w:eastAsia="zh-CN" w:bidi="ar-SA"/>
        </w:rPr>
      </w:pPr>
      <w:r>
        <w:rPr>
          <w:rFonts w:hint="eastAsia" w:ascii="宋体" w:hAnsi="宋体" w:cs="宋体"/>
          <w:kern w:val="2"/>
          <w:sz w:val="21"/>
          <w:szCs w:val="21"/>
          <w:highlight w:val="none"/>
          <w:lang w:val="en-US" w:eastAsia="zh-CN" w:bidi="ar-SA"/>
        </w:rPr>
        <w:t>1、</w:t>
      </w:r>
      <w:r>
        <w:rPr>
          <w:rFonts w:hint="eastAsia" w:ascii="宋体" w:hAnsi="宋体" w:cs="宋体" w:eastAsiaTheme="minorEastAsia"/>
          <w:kern w:val="2"/>
          <w:sz w:val="21"/>
          <w:szCs w:val="21"/>
          <w:highlight w:val="none"/>
          <w:lang w:val="en-US" w:eastAsia="zh-CN" w:bidi="ar-SA"/>
        </w:rPr>
        <w:t>在项目完工后，达到付款条件起14日内，支付总监理费的 80.00%。</w:t>
      </w:r>
    </w:p>
    <w:p w14:paraId="6E50261E">
      <w:pPr>
        <w:pStyle w:val="5"/>
        <w:rPr>
          <w:rFonts w:hint="eastAsia" w:ascii="宋体" w:hAnsi="宋体" w:cs="宋体" w:eastAsiaTheme="minorEastAsia"/>
          <w:kern w:val="2"/>
          <w:sz w:val="21"/>
          <w:szCs w:val="21"/>
          <w:highlight w:val="none"/>
          <w:lang w:val="en-US" w:eastAsia="zh-CN" w:bidi="ar-SA"/>
        </w:rPr>
      </w:pPr>
      <w:r>
        <w:rPr>
          <w:rFonts w:hint="eastAsia" w:ascii="宋体" w:hAnsi="宋体" w:cs="宋体"/>
          <w:kern w:val="2"/>
          <w:sz w:val="21"/>
          <w:szCs w:val="21"/>
          <w:highlight w:val="none"/>
          <w:lang w:val="en-US" w:eastAsia="zh-CN" w:bidi="ar-SA"/>
        </w:rPr>
        <w:t>2、</w:t>
      </w:r>
      <w:r>
        <w:rPr>
          <w:rFonts w:hint="eastAsia" w:ascii="宋体" w:hAnsi="宋体" w:cs="宋体" w:eastAsiaTheme="minorEastAsia"/>
          <w:kern w:val="2"/>
          <w:sz w:val="21"/>
          <w:szCs w:val="21"/>
          <w:highlight w:val="none"/>
          <w:lang w:val="en-US" w:eastAsia="zh-CN" w:bidi="ar-SA"/>
        </w:rPr>
        <w:t>在本项目工程竣工验收审计结束后，达到付款条件起 14 日内，支付至最终价款的 97.00%。</w:t>
      </w:r>
    </w:p>
    <w:p w14:paraId="6E4F018E">
      <w:pPr>
        <w:spacing w:line="360" w:lineRule="auto"/>
        <w:rPr>
          <w:rFonts w:hint="eastAsia" w:ascii="宋体" w:hAnsi="宋体" w:cs="宋体" w:eastAsiaTheme="minorEastAsia"/>
          <w:kern w:val="2"/>
          <w:sz w:val="21"/>
          <w:szCs w:val="21"/>
          <w:highlight w:val="none"/>
          <w:lang w:val="en-US" w:eastAsia="zh-CN" w:bidi="ar-SA"/>
        </w:rPr>
      </w:pPr>
      <w:r>
        <w:rPr>
          <w:rFonts w:hint="eastAsia" w:ascii="宋体" w:hAnsi="宋体" w:cs="宋体"/>
          <w:kern w:val="2"/>
          <w:sz w:val="21"/>
          <w:szCs w:val="21"/>
          <w:highlight w:val="none"/>
          <w:lang w:val="en-US" w:eastAsia="zh-CN" w:bidi="ar-SA"/>
        </w:rPr>
        <w:t>3、</w:t>
      </w:r>
      <w:r>
        <w:rPr>
          <w:rFonts w:hint="eastAsia" w:ascii="宋体" w:hAnsi="宋体" w:cs="宋体" w:eastAsiaTheme="minorEastAsia"/>
          <w:kern w:val="2"/>
          <w:sz w:val="21"/>
          <w:szCs w:val="21"/>
          <w:highlight w:val="none"/>
          <w:lang w:val="en-US" w:eastAsia="zh-CN" w:bidi="ar-SA"/>
        </w:rPr>
        <w:t>本项目缺陷责任期1年结束后，达到付款条件起 14 日内，支付剩余价款的3.00%。</w:t>
      </w:r>
    </w:p>
    <w:p w14:paraId="23533A9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第六条   知识产权</w:t>
      </w:r>
    </w:p>
    <w:p w14:paraId="1E75A3F9">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乙方应保证所提供的服务或其任何一部分均不会侵犯任何第三方的专利权、商标权或著作权。</w:t>
      </w:r>
    </w:p>
    <w:p w14:paraId="328A460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第七条  无产权瑕疵条款</w:t>
      </w:r>
    </w:p>
    <w:p w14:paraId="7B287E74">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乙方保证所提供的服务的所有权完全属于乙方且无任何抵押、查封等产权瑕疵。如有产权瑕疵的，视为乙方违约。乙方应负担由此而产生的一切损失。</w:t>
      </w:r>
    </w:p>
    <w:p w14:paraId="12EAE23A">
      <w:pPr>
        <w:widowControl/>
        <w:spacing w:before="120" w:beforeLines="50" w:after="120" w:afterLines="50" w:line="360" w:lineRule="auto"/>
        <w:jc w:val="left"/>
        <w:rPr>
          <w:rFonts w:hint="eastAsia" w:ascii="宋体" w:hAnsi="宋体"/>
          <w:b/>
          <w:sz w:val="30"/>
          <w:szCs w:val="30"/>
          <w:highlight w:val="none"/>
        </w:rPr>
      </w:pPr>
      <w:r>
        <w:rPr>
          <w:rFonts w:hint="eastAsia" w:ascii="宋体" w:hAnsi="宋体"/>
          <w:b/>
          <w:sz w:val="30"/>
          <w:szCs w:val="30"/>
          <w:highlight w:val="none"/>
        </w:rPr>
        <w:t xml:space="preserve">   第八条   履约保证金</w:t>
      </w:r>
    </w:p>
    <w:p w14:paraId="02DB47C6">
      <w:pPr>
        <w:widowControl/>
        <w:spacing w:line="360" w:lineRule="auto"/>
        <w:ind w:firstLine="420" w:firstLineChars="200"/>
        <w:jc w:val="left"/>
        <w:rPr>
          <w:rFonts w:hint="eastAsia" w:ascii="宋体" w:hAnsi="宋体"/>
          <w:b/>
          <w:szCs w:val="21"/>
          <w:highlight w:val="none"/>
        </w:rPr>
      </w:pPr>
      <w:r>
        <w:rPr>
          <w:rFonts w:hint="eastAsia" w:ascii="宋体" w:hAnsi="宋体" w:cs="宋体"/>
          <w:color w:val="000000"/>
          <w:kern w:val="0"/>
          <w:szCs w:val="21"/>
          <w:highlight w:val="none"/>
        </w:rPr>
        <w:t>1.乙方在签订本合同之前，向甲方构提交履约保证金人民币（大写）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15440C56">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bCs/>
          <w:szCs w:val="21"/>
          <w:highlight w:val="none"/>
        </w:rPr>
        <w:t>2.</w:t>
      </w:r>
      <w:r>
        <w:rPr>
          <w:rFonts w:hint="eastAsia" w:ascii="宋体" w:hAnsi="宋体" w:cs="宋体"/>
          <w:color w:val="000000"/>
          <w:kern w:val="0"/>
          <w:szCs w:val="21"/>
          <w:highlight w:val="none"/>
        </w:rPr>
        <w:t>履约保证金的有效期为乙方承诺的服务期限。</w:t>
      </w:r>
    </w:p>
    <w:p w14:paraId="3818C13B">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3.履约保证金作为违约金的一部分及用于补偿甲方因乙方不能履行合同义务而蒙受的损失。</w:t>
      </w:r>
    </w:p>
    <w:p w14:paraId="3220B863">
      <w:pPr>
        <w:widowControl/>
        <w:spacing w:line="360" w:lineRule="auto"/>
        <w:ind w:firstLine="420" w:firstLineChars="200"/>
        <w:jc w:val="left"/>
        <w:rPr>
          <w:rFonts w:hint="eastAsia" w:ascii="宋体" w:hAnsi="宋体"/>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服务期限结束后，甲方财务部门接到甲方确认本合同服务等约定事项已经履行完毕的正式书面文件后的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199C0578">
      <w:pPr>
        <w:widowControl/>
        <w:spacing w:line="360" w:lineRule="auto"/>
        <w:ind w:firstLine="420" w:firstLineChars="200"/>
        <w:jc w:val="left"/>
        <w:rPr>
          <w:rFonts w:hint="eastAsia" w:ascii="宋体" w:hAnsi="宋体"/>
          <w:bCs/>
          <w:szCs w:val="21"/>
          <w:highlight w:val="none"/>
        </w:rPr>
      </w:pPr>
      <w:r>
        <w:rPr>
          <w:rFonts w:hint="eastAsia" w:ascii="宋体" w:hAnsi="宋体"/>
          <w:szCs w:val="21"/>
          <w:highlight w:val="none"/>
        </w:rPr>
        <w:t>5.乙方可以履约担保函的形式交纳履约保证金。</w:t>
      </w:r>
    </w:p>
    <w:p w14:paraId="79ACC366">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第九条  </w:t>
      </w:r>
      <w:r>
        <w:rPr>
          <w:rFonts w:ascii="宋体" w:hAnsi="宋体"/>
          <w:b/>
          <w:sz w:val="30"/>
          <w:szCs w:val="30"/>
          <w:highlight w:val="none"/>
        </w:rPr>
        <w:t>甲方的权利和义务</w:t>
      </w:r>
    </w:p>
    <w:p w14:paraId="22A6B3F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甲方有权对合同规定范围内</w:t>
      </w:r>
      <w:r>
        <w:rPr>
          <w:rFonts w:hint="eastAsia" w:ascii="宋体" w:hAnsi="宋体"/>
          <w:bCs/>
          <w:szCs w:val="21"/>
          <w:highlight w:val="none"/>
        </w:rPr>
        <w:t>乙方的服务行为</w:t>
      </w:r>
      <w:r>
        <w:rPr>
          <w:rFonts w:ascii="宋体" w:hAnsi="宋体"/>
          <w:bCs/>
          <w:szCs w:val="21"/>
          <w:highlight w:val="none"/>
        </w:rPr>
        <w:t>进行监督和检查，拥有监管权。有权定期核对乙方提供服务所配备的人员数量。对甲方认为不合理的部分有权</w:t>
      </w:r>
      <w:r>
        <w:rPr>
          <w:rFonts w:hint="eastAsia" w:ascii="宋体" w:hAnsi="宋体"/>
          <w:bCs/>
          <w:szCs w:val="21"/>
          <w:highlight w:val="none"/>
        </w:rPr>
        <w:t>下达整改通知书，并</w:t>
      </w:r>
      <w:r>
        <w:rPr>
          <w:rFonts w:ascii="宋体" w:hAnsi="宋体"/>
          <w:bCs/>
          <w:szCs w:val="21"/>
          <w:highlight w:val="none"/>
        </w:rPr>
        <w:t>要求乙方</w:t>
      </w:r>
      <w:r>
        <w:rPr>
          <w:rFonts w:hint="eastAsia" w:ascii="宋体" w:hAnsi="宋体"/>
          <w:bCs/>
          <w:szCs w:val="21"/>
          <w:highlight w:val="none"/>
        </w:rPr>
        <w:t>限期整改</w:t>
      </w:r>
      <w:r>
        <w:rPr>
          <w:rFonts w:ascii="宋体" w:hAnsi="宋体"/>
          <w:bCs/>
          <w:szCs w:val="21"/>
          <w:highlight w:val="none"/>
        </w:rPr>
        <w:t>。</w:t>
      </w:r>
    </w:p>
    <w:p w14:paraId="0A5916C0">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2.甲方有权依据双方签订的考评办法对乙方提供的服务进行定期考评。当考评结果未达到标准时，有权依据考评办法约定的数额扣除履约保证金。</w:t>
      </w:r>
    </w:p>
    <w:p w14:paraId="000BE1B5">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w:t>
      </w:r>
      <w:r>
        <w:rPr>
          <w:rFonts w:ascii="宋体" w:hAnsi="宋体"/>
          <w:bCs/>
          <w:szCs w:val="21"/>
          <w:highlight w:val="none"/>
        </w:rPr>
        <w:t>负责检查监督乙方管理工作的实施及制度的执行情况。</w:t>
      </w:r>
    </w:p>
    <w:p w14:paraId="45C9C05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4.</w:t>
      </w:r>
      <w:r>
        <w:rPr>
          <w:rFonts w:ascii="宋体" w:hAnsi="宋体"/>
          <w:bCs/>
          <w:szCs w:val="21"/>
          <w:highlight w:val="none"/>
        </w:rPr>
        <w:t>根据本合同规定，按时向乙方支付应付</w:t>
      </w:r>
      <w:r>
        <w:rPr>
          <w:rFonts w:hint="eastAsia" w:ascii="宋体" w:hAnsi="宋体"/>
          <w:bCs/>
          <w:szCs w:val="21"/>
          <w:highlight w:val="none"/>
        </w:rPr>
        <w:t>服务费用</w:t>
      </w:r>
      <w:r>
        <w:rPr>
          <w:rFonts w:ascii="宋体" w:hAnsi="宋体"/>
          <w:bCs/>
          <w:szCs w:val="21"/>
          <w:highlight w:val="none"/>
        </w:rPr>
        <w:t>。</w:t>
      </w:r>
    </w:p>
    <w:p w14:paraId="14D7B256">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国家法律、法规所规定由甲方承担的其它责任。</w:t>
      </w:r>
    </w:p>
    <w:p w14:paraId="40ECEAC4">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第十条  </w:t>
      </w:r>
      <w:r>
        <w:rPr>
          <w:rFonts w:ascii="宋体" w:hAnsi="宋体"/>
          <w:b/>
          <w:sz w:val="30"/>
          <w:szCs w:val="30"/>
          <w:highlight w:val="none"/>
        </w:rPr>
        <w:t>乙方的权利和义务</w:t>
      </w:r>
    </w:p>
    <w:p w14:paraId="5929911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对本合同规定的委托</w:t>
      </w:r>
      <w:r>
        <w:rPr>
          <w:rFonts w:hint="eastAsia" w:ascii="宋体" w:hAnsi="宋体"/>
          <w:bCs/>
          <w:szCs w:val="21"/>
          <w:highlight w:val="none"/>
        </w:rPr>
        <w:t>服务</w:t>
      </w:r>
      <w:r>
        <w:rPr>
          <w:rFonts w:ascii="宋体" w:hAnsi="宋体"/>
          <w:bCs/>
          <w:szCs w:val="21"/>
          <w:highlight w:val="none"/>
        </w:rPr>
        <w:t>范围内的</w:t>
      </w:r>
      <w:r>
        <w:rPr>
          <w:rFonts w:hint="eastAsia" w:ascii="宋体" w:hAnsi="宋体"/>
          <w:bCs/>
          <w:szCs w:val="21"/>
          <w:highlight w:val="none"/>
        </w:rPr>
        <w:t>项目</w:t>
      </w:r>
      <w:r>
        <w:rPr>
          <w:rFonts w:ascii="宋体" w:hAnsi="宋体"/>
          <w:bCs/>
          <w:szCs w:val="21"/>
          <w:highlight w:val="none"/>
        </w:rPr>
        <w:t>享有管理权及服务义务。</w:t>
      </w:r>
    </w:p>
    <w:p w14:paraId="4665B94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根据本合同的规定向甲方收取相关</w:t>
      </w:r>
      <w:r>
        <w:rPr>
          <w:rFonts w:hint="eastAsia" w:ascii="宋体" w:hAnsi="宋体"/>
          <w:bCs/>
          <w:szCs w:val="21"/>
          <w:highlight w:val="none"/>
        </w:rPr>
        <w:t>服务</w:t>
      </w:r>
      <w:r>
        <w:rPr>
          <w:rFonts w:ascii="宋体" w:hAnsi="宋体"/>
          <w:bCs/>
          <w:szCs w:val="21"/>
          <w:highlight w:val="none"/>
        </w:rPr>
        <w:t>费用，并有权</w:t>
      </w:r>
      <w:r>
        <w:rPr>
          <w:rFonts w:hint="eastAsia" w:ascii="宋体" w:hAnsi="宋体"/>
          <w:bCs/>
          <w:szCs w:val="21"/>
          <w:highlight w:val="none"/>
        </w:rPr>
        <w:t>在本项目管理范围内</w:t>
      </w:r>
      <w:r>
        <w:rPr>
          <w:rFonts w:ascii="宋体" w:hAnsi="宋体"/>
          <w:bCs/>
          <w:szCs w:val="21"/>
          <w:highlight w:val="none"/>
        </w:rPr>
        <w:t>管理及合理使用。</w:t>
      </w:r>
    </w:p>
    <w:p w14:paraId="53E2D665">
      <w:pPr>
        <w:adjustRightInd w:val="0"/>
        <w:spacing w:line="360" w:lineRule="auto"/>
        <w:ind w:firstLine="420" w:firstLineChars="200"/>
        <w:jc w:val="left"/>
        <w:textAlignment w:val="baseline"/>
        <w:rPr>
          <w:rFonts w:hint="eastAsia" w:ascii="宋体" w:hAnsi="宋体"/>
          <w:szCs w:val="21"/>
          <w:highlight w:val="none"/>
        </w:rPr>
      </w:pPr>
      <w:r>
        <w:rPr>
          <w:rFonts w:hint="eastAsia" w:ascii="宋体" w:hAnsi="宋体"/>
          <w:szCs w:val="21"/>
          <w:highlight w:val="none"/>
        </w:rPr>
        <w:t>3.及时向甲方通告本项目服务范围内有关服务的重大事项，及时配合处理投诉。</w:t>
      </w:r>
    </w:p>
    <w:p w14:paraId="00302626">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szCs w:val="21"/>
          <w:highlight w:val="none"/>
        </w:rPr>
        <w:t>4.</w:t>
      </w:r>
      <w:r>
        <w:rPr>
          <w:rFonts w:ascii="宋体" w:hAnsi="宋体"/>
          <w:bCs/>
          <w:szCs w:val="21"/>
          <w:highlight w:val="none"/>
        </w:rPr>
        <w:t>接受</w:t>
      </w:r>
      <w:r>
        <w:rPr>
          <w:rFonts w:hint="eastAsia" w:ascii="宋体" w:hAnsi="宋体"/>
          <w:bCs/>
          <w:szCs w:val="21"/>
          <w:highlight w:val="none"/>
        </w:rPr>
        <w:t>项目行</w:t>
      </w:r>
      <w:r>
        <w:rPr>
          <w:rFonts w:ascii="宋体" w:hAnsi="宋体"/>
          <w:bCs/>
          <w:szCs w:val="21"/>
          <w:highlight w:val="none"/>
        </w:rPr>
        <w:t>业管理部门及政府有关部门的指导，接受甲方的监督。</w:t>
      </w:r>
    </w:p>
    <w:p w14:paraId="6B090AFF">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国家法律、法规所规定由乙方承担的其它责任。</w:t>
      </w:r>
    </w:p>
    <w:p w14:paraId="52194372">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第十一条  </w:t>
      </w:r>
      <w:r>
        <w:rPr>
          <w:rFonts w:ascii="宋体" w:hAnsi="宋体"/>
          <w:b/>
          <w:sz w:val="30"/>
          <w:szCs w:val="30"/>
          <w:highlight w:val="none"/>
        </w:rPr>
        <w:t>违约责任</w:t>
      </w:r>
    </w:p>
    <w:p w14:paraId="64EFC114">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甲乙双方必须遵守本合同并执行合同中的各项规定，保证</w:t>
      </w:r>
      <w:r>
        <w:rPr>
          <w:rFonts w:hint="eastAsia" w:ascii="宋体" w:hAnsi="宋体"/>
          <w:bCs/>
          <w:szCs w:val="21"/>
          <w:highlight w:val="none"/>
        </w:rPr>
        <w:t>本</w:t>
      </w:r>
      <w:r>
        <w:rPr>
          <w:rFonts w:ascii="宋体" w:hAnsi="宋体"/>
          <w:bCs/>
          <w:szCs w:val="21"/>
          <w:highlight w:val="none"/>
        </w:rPr>
        <w:t>合同的正常</w:t>
      </w:r>
      <w:r>
        <w:rPr>
          <w:rFonts w:hint="eastAsia" w:ascii="宋体" w:hAnsi="宋体"/>
          <w:bCs/>
          <w:szCs w:val="21"/>
          <w:highlight w:val="none"/>
        </w:rPr>
        <w:t>履行</w:t>
      </w:r>
      <w:r>
        <w:rPr>
          <w:rFonts w:ascii="宋体" w:hAnsi="宋体"/>
          <w:bCs/>
          <w:szCs w:val="21"/>
          <w:highlight w:val="none"/>
        </w:rPr>
        <w:t>。</w:t>
      </w:r>
    </w:p>
    <w:p w14:paraId="3A482C1C">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工作人员在履行职务过程中的</w:t>
      </w:r>
      <w:r>
        <w:rPr>
          <w:rFonts w:ascii="宋体" w:hAnsi="宋体"/>
          <w:bCs/>
          <w:szCs w:val="21"/>
          <w:highlight w:val="none"/>
        </w:rPr>
        <w:t>的疏忽、失职、过错等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41FFF04B">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第十二条  不可抗力事件处理</w:t>
      </w:r>
    </w:p>
    <w:p w14:paraId="718DF3EB">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1.在合同有效期内，任何一方因不可抗力事件导致不能履行合同，则合同履行期可延长，其延长期与不可抗力影响期相同。</w:t>
      </w:r>
    </w:p>
    <w:p w14:paraId="411D10BE">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9EC82E1">
      <w:pPr>
        <w:tabs>
          <w:tab w:val="left" w:pos="0"/>
        </w:tabs>
        <w:spacing w:line="360" w:lineRule="auto"/>
        <w:ind w:firstLine="420" w:firstLineChars="200"/>
        <w:rPr>
          <w:rFonts w:ascii="宋体" w:hAnsi="宋体"/>
          <w:szCs w:val="21"/>
          <w:highlight w:val="none"/>
        </w:rPr>
      </w:pPr>
      <w:r>
        <w:rPr>
          <w:rFonts w:hint="eastAsia" w:ascii="宋体" w:hAnsi="宋体"/>
          <w:szCs w:val="21"/>
          <w:highlight w:val="none"/>
        </w:rPr>
        <w:t>3.不可抗力事件延续</w:t>
      </w:r>
      <w:r>
        <w:rPr>
          <w:rFonts w:hint="eastAsia" w:ascii="宋体" w:hAnsi="宋体"/>
          <w:color w:val="000000"/>
          <w:szCs w:val="21"/>
          <w:highlight w:val="none"/>
        </w:rPr>
        <w:t>XX</w:t>
      </w:r>
      <w:r>
        <w:rPr>
          <w:rFonts w:hint="eastAsia" w:ascii="宋体" w:hAnsi="宋体"/>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0C87627">
      <w:pPr>
        <w:widowControl/>
        <w:spacing w:before="120" w:beforeLines="50" w:after="120" w:afterLines="50" w:line="360" w:lineRule="auto"/>
        <w:jc w:val="left"/>
        <w:rPr>
          <w:rFonts w:hint="eastAsia" w:ascii="宋体" w:hAnsi="宋体" w:cs="宋体"/>
          <w:color w:val="000000"/>
          <w:kern w:val="0"/>
          <w:sz w:val="30"/>
          <w:szCs w:val="30"/>
          <w:highlight w:val="none"/>
        </w:rPr>
      </w:pPr>
      <w:bookmarkStart w:id="18" w:name="_Toc241833908"/>
      <w:bookmarkStart w:id="19" w:name="_Toc238984980"/>
      <w:bookmarkStart w:id="20" w:name="_Toc239568423"/>
      <w:bookmarkStart w:id="21" w:name="_Toc225654649"/>
      <w:bookmarkStart w:id="22" w:name="_Toc232492933"/>
      <w:bookmarkStart w:id="23" w:name="_Toc247334846"/>
      <w:bookmarkStart w:id="24" w:name="_Toc211911353"/>
      <w:bookmarkStart w:id="25" w:name="_Toc225670756"/>
      <w:bookmarkStart w:id="26" w:name="_Toc212019599"/>
      <w:bookmarkStart w:id="27" w:name="_Toc251768867"/>
      <w:bookmarkStart w:id="28" w:name="_Toc239233919"/>
      <w:bookmarkStart w:id="29" w:name="_Toc237145411"/>
      <w:bookmarkStart w:id="30" w:name="_Toc185395254"/>
      <w:bookmarkStart w:id="31" w:name="_Toc286993792"/>
      <w:bookmarkStart w:id="32" w:name="_Toc211854454"/>
      <w:bookmarkStart w:id="33" w:name="_Toc225244857"/>
      <w:r>
        <w:rPr>
          <w:rFonts w:hint="eastAsia" w:ascii="宋体" w:hAnsi="宋体"/>
          <w:b/>
          <w:sz w:val="30"/>
          <w:szCs w:val="30"/>
          <w:highlight w:val="none"/>
        </w:rPr>
        <w:t xml:space="preserve">   第十三条  </w:t>
      </w:r>
      <w:r>
        <w:rPr>
          <w:rFonts w:hint="eastAsia" w:ascii="宋体" w:hAnsi="宋体" w:cs="宋体"/>
          <w:b/>
          <w:color w:val="000000"/>
          <w:kern w:val="0"/>
          <w:sz w:val="30"/>
          <w:szCs w:val="30"/>
          <w:highlight w:val="none"/>
        </w:rPr>
        <w:t>合同的变更和终止</w:t>
      </w:r>
    </w:p>
    <w:p w14:paraId="4D7C6C9E">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55413AA1">
      <w:pPr>
        <w:spacing w:before="120" w:beforeLines="50" w:after="120" w:afterLines="50" w:line="360" w:lineRule="auto"/>
        <w:ind w:left="425"/>
        <w:rPr>
          <w:rFonts w:ascii="宋体" w:hAnsi="宋体"/>
          <w:b/>
          <w:szCs w:val="21"/>
          <w:highlight w:val="none"/>
        </w:rPr>
      </w:pPr>
      <w:r>
        <w:rPr>
          <w:rFonts w:hint="eastAsia" w:ascii="宋体" w:hAnsi="宋体"/>
          <w:b/>
          <w:sz w:val="30"/>
          <w:szCs w:val="30"/>
          <w:highlight w:val="none"/>
        </w:rPr>
        <w:t>第十四条  解</w:t>
      </w:r>
      <w:r>
        <w:rPr>
          <w:rFonts w:ascii="宋体" w:hAnsi="宋体"/>
          <w:b/>
          <w:sz w:val="30"/>
          <w:szCs w:val="30"/>
          <w:highlight w:val="none"/>
        </w:rPr>
        <w:t>决合同纠纷的方</w:t>
      </w:r>
      <w:r>
        <w:rPr>
          <w:rFonts w:ascii="宋体" w:hAnsi="宋体"/>
          <w:b/>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158A0E6">
      <w:pPr>
        <w:pStyle w:val="6"/>
        <w:spacing w:line="360" w:lineRule="auto"/>
        <w:ind w:firstLine="420"/>
        <w:rPr>
          <w:rFonts w:hint="eastAsia" w:ascii="宋体" w:hAnsi="宋体"/>
          <w:kern w:val="0"/>
          <w:sz w:val="21"/>
          <w:szCs w:val="21"/>
          <w:highlight w:val="none"/>
        </w:rPr>
      </w:pPr>
      <w:r>
        <w:rPr>
          <w:rFonts w:hint="eastAsia" w:ascii="宋体" w:hAnsi="宋体"/>
          <w:sz w:val="21"/>
          <w:szCs w:val="21"/>
          <w:highlight w:val="none"/>
        </w:rPr>
        <w:t>1.</w:t>
      </w:r>
      <w:r>
        <w:rPr>
          <w:rFonts w:ascii="宋体" w:hAnsi="宋体"/>
          <w:sz w:val="21"/>
          <w:szCs w:val="21"/>
          <w:highlight w:val="none"/>
        </w:rPr>
        <w:t>在执行本合同中发生的或与本合同有关的争端，双方应通过友好协商解决，经协商在</w:t>
      </w:r>
      <w:r>
        <w:rPr>
          <w:rFonts w:hint="eastAsia" w:ascii="宋体" w:hAnsi="宋体"/>
          <w:color w:val="000000"/>
          <w:sz w:val="21"/>
          <w:szCs w:val="21"/>
          <w:highlight w:val="none"/>
        </w:rPr>
        <w:t>XX</w:t>
      </w:r>
      <w:r>
        <w:rPr>
          <w:rFonts w:ascii="宋体" w:hAnsi="宋体"/>
          <w:sz w:val="21"/>
          <w:szCs w:val="21"/>
          <w:highlight w:val="none"/>
        </w:rPr>
        <w:t>天内不能达成协议时，</w:t>
      </w:r>
      <w:r>
        <w:rPr>
          <w:rFonts w:hint="eastAsia" w:ascii="宋体" w:hAnsi="宋体"/>
          <w:kern w:val="0"/>
          <w:sz w:val="21"/>
          <w:szCs w:val="21"/>
          <w:highlight w:val="none"/>
        </w:rPr>
        <w:t>则采取以下第</w:t>
      </w:r>
      <w:r>
        <w:rPr>
          <w:rFonts w:hint="eastAsia" w:ascii="宋体" w:hAnsi="宋体"/>
          <w:kern w:val="0"/>
          <w:sz w:val="21"/>
          <w:szCs w:val="21"/>
          <w:highlight w:val="none"/>
          <w:u w:val="single"/>
          <w:lang w:val="en-US" w:eastAsia="zh-CN"/>
        </w:rPr>
        <w:t xml:space="preserve">  1  </w:t>
      </w:r>
      <w:r>
        <w:rPr>
          <w:rFonts w:hint="eastAsia" w:ascii="宋体" w:hAnsi="宋体"/>
          <w:kern w:val="0"/>
          <w:sz w:val="21"/>
          <w:szCs w:val="21"/>
          <w:highlight w:val="none"/>
        </w:rPr>
        <w:t>种方式解决争议：</w:t>
      </w:r>
    </w:p>
    <w:p w14:paraId="1688B518">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0ADE5CEE">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w:t>
      </w:r>
      <w:r>
        <w:rPr>
          <w:rFonts w:hint="eastAsia" w:ascii="宋体" w:hAnsi="宋体"/>
          <w:kern w:val="0"/>
          <w:sz w:val="21"/>
          <w:szCs w:val="21"/>
          <w:highlight w:val="none"/>
        </w:rPr>
        <w:t>仲裁委员会按其仲裁规则申请仲裁。</w:t>
      </w:r>
    </w:p>
    <w:p w14:paraId="7ACED61F">
      <w:pPr>
        <w:tabs>
          <w:tab w:val="left" w:pos="0"/>
        </w:tabs>
        <w:spacing w:line="360" w:lineRule="auto"/>
        <w:ind w:firstLine="420" w:firstLineChars="200"/>
        <w:rPr>
          <w:rFonts w:ascii="宋体" w:hAnsi="宋体"/>
          <w:szCs w:val="21"/>
          <w:highlight w:val="none"/>
        </w:rPr>
      </w:pPr>
      <w:r>
        <w:rPr>
          <w:rFonts w:hint="eastAsia" w:ascii="宋体" w:hAnsi="宋体"/>
          <w:kern w:val="0"/>
          <w:szCs w:val="21"/>
          <w:highlight w:val="none"/>
        </w:rPr>
        <w:t>2.在仲裁期间，本合同应继续履行。</w:t>
      </w:r>
    </w:p>
    <w:p w14:paraId="56081A37">
      <w:pPr>
        <w:spacing w:before="120" w:beforeLines="50" w:after="120" w:afterLines="50" w:line="360" w:lineRule="auto"/>
        <w:ind w:left="425"/>
        <w:rPr>
          <w:rFonts w:ascii="宋体" w:hAnsi="宋体"/>
          <w:b/>
          <w:sz w:val="30"/>
          <w:szCs w:val="30"/>
          <w:highlight w:val="none"/>
        </w:rPr>
      </w:pPr>
      <w:bookmarkStart w:id="34" w:name="_Toc239233920"/>
      <w:bookmarkStart w:id="35" w:name="_Toc251768868"/>
      <w:bookmarkStart w:id="36" w:name="_Toc286993793"/>
      <w:bookmarkStart w:id="37" w:name="_Toc283019219"/>
      <w:bookmarkStart w:id="38" w:name="_Toc282696231"/>
      <w:bookmarkStart w:id="39" w:name="_Toc238984981"/>
      <w:bookmarkStart w:id="40" w:name="_Toc211911354"/>
      <w:bookmarkStart w:id="41" w:name="_Toc212019600"/>
      <w:bookmarkStart w:id="42" w:name="_Toc237145412"/>
      <w:bookmarkStart w:id="43" w:name="_Toc225654650"/>
      <w:bookmarkStart w:id="44" w:name="_Toc232492934"/>
      <w:bookmarkStart w:id="45" w:name="_Toc225670757"/>
      <w:bookmarkStart w:id="46" w:name="_Toc225244858"/>
      <w:bookmarkStart w:id="47" w:name="_Toc211854455"/>
      <w:bookmarkStart w:id="48" w:name="_Toc185395255"/>
      <w:bookmarkStart w:id="49" w:name="_Toc241833909"/>
      <w:bookmarkStart w:id="50" w:name="_Toc247334847"/>
      <w:bookmarkStart w:id="51" w:name="_Toc239568424"/>
      <w:r>
        <w:rPr>
          <w:rFonts w:hint="eastAsia" w:ascii="宋体" w:hAnsi="宋体"/>
          <w:b/>
          <w:sz w:val="30"/>
          <w:szCs w:val="30"/>
          <w:highlight w:val="none"/>
        </w:rPr>
        <w:t xml:space="preserve">第十四条  </w:t>
      </w:r>
      <w:r>
        <w:rPr>
          <w:rFonts w:ascii="宋体" w:hAnsi="宋体"/>
          <w:b/>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highlight w:val="none"/>
        </w:rPr>
        <w:t>生效及其他</w:t>
      </w:r>
    </w:p>
    <w:p w14:paraId="52500B47">
      <w:pPr>
        <w:pStyle w:val="7"/>
        <w:spacing w:line="360" w:lineRule="auto"/>
        <w:rPr>
          <w:rFonts w:hint="eastAsia" w:ascii="宋体" w:hAnsi="宋体"/>
          <w:sz w:val="21"/>
          <w:szCs w:val="21"/>
          <w:highlight w:val="none"/>
        </w:rPr>
      </w:pPr>
      <w:r>
        <w:rPr>
          <w:rFonts w:hint="eastAsia" w:ascii="宋体" w:hAnsi="宋体"/>
          <w:sz w:val="21"/>
          <w:szCs w:val="21"/>
          <w:highlight w:val="none"/>
        </w:rPr>
        <w:t>1.合同经双方法定代表人或授权委托代理人签字并加盖单位公章后生效。</w:t>
      </w:r>
    </w:p>
    <w:p w14:paraId="259C57DB">
      <w:pPr>
        <w:pStyle w:val="7"/>
        <w:spacing w:line="360" w:lineRule="auto"/>
        <w:rPr>
          <w:rFonts w:hint="eastAsia" w:ascii="宋体" w:hAnsi="宋体"/>
          <w:sz w:val="21"/>
          <w:szCs w:val="21"/>
          <w:highlight w:val="none"/>
        </w:rPr>
      </w:pPr>
      <w:r>
        <w:rPr>
          <w:rFonts w:hint="eastAsia" w:ascii="宋体" w:hAnsi="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4AA6C726">
      <w:pPr>
        <w:pStyle w:val="7"/>
        <w:spacing w:line="360" w:lineRule="auto"/>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color w:val="000000"/>
          <w:sz w:val="21"/>
          <w:szCs w:val="21"/>
          <w:highlight w:val="none"/>
        </w:rPr>
        <w:t>XX</w:t>
      </w:r>
      <w:r>
        <w:rPr>
          <w:rFonts w:hint="eastAsia" w:ascii="宋体" w:hAnsi="宋体"/>
          <w:sz w:val="21"/>
          <w:szCs w:val="21"/>
          <w:highlight w:val="none"/>
        </w:rPr>
        <w:t>份，自双方签章之日起起效。甲方</w:t>
      </w:r>
      <w:r>
        <w:rPr>
          <w:rFonts w:hint="eastAsia" w:ascii="宋体" w:hAnsi="宋体"/>
          <w:color w:val="000000"/>
          <w:sz w:val="21"/>
          <w:szCs w:val="21"/>
          <w:highlight w:val="none"/>
        </w:rPr>
        <w:t>XX</w:t>
      </w:r>
      <w:r>
        <w:rPr>
          <w:rFonts w:hint="eastAsia" w:ascii="宋体" w:hAnsi="宋体"/>
          <w:sz w:val="21"/>
          <w:szCs w:val="21"/>
          <w:highlight w:val="none"/>
        </w:rPr>
        <w:t>份，乙方</w:t>
      </w:r>
      <w:r>
        <w:rPr>
          <w:rFonts w:hint="eastAsia" w:ascii="宋体" w:hAnsi="宋体"/>
          <w:color w:val="000000"/>
          <w:sz w:val="21"/>
          <w:szCs w:val="21"/>
          <w:highlight w:val="none"/>
        </w:rPr>
        <w:t>XX</w:t>
      </w:r>
      <w:r>
        <w:rPr>
          <w:rFonts w:hint="eastAsia" w:ascii="宋体" w:hAnsi="宋体"/>
          <w:sz w:val="21"/>
          <w:szCs w:val="21"/>
          <w:highlight w:val="none"/>
        </w:rPr>
        <w:t>份，政府采购代理机构</w:t>
      </w:r>
      <w:r>
        <w:rPr>
          <w:rFonts w:hint="eastAsia" w:ascii="宋体" w:hAnsi="宋体"/>
          <w:color w:val="000000"/>
          <w:sz w:val="21"/>
          <w:szCs w:val="21"/>
          <w:highlight w:val="none"/>
        </w:rPr>
        <w:t>XX</w:t>
      </w:r>
      <w:r>
        <w:rPr>
          <w:rFonts w:hint="eastAsia" w:ascii="宋体" w:hAnsi="宋体"/>
          <w:sz w:val="21"/>
          <w:szCs w:val="21"/>
          <w:highlight w:val="none"/>
        </w:rPr>
        <w:t>份，同级财政部门备案</w:t>
      </w:r>
      <w:r>
        <w:rPr>
          <w:rFonts w:hint="eastAsia" w:ascii="宋体" w:hAnsi="宋体"/>
          <w:color w:val="000000"/>
          <w:sz w:val="21"/>
          <w:szCs w:val="21"/>
          <w:highlight w:val="none"/>
        </w:rPr>
        <w:t>XX</w:t>
      </w:r>
      <w:r>
        <w:rPr>
          <w:rFonts w:hint="eastAsia" w:ascii="宋体" w:hAnsi="宋体"/>
          <w:sz w:val="21"/>
          <w:szCs w:val="21"/>
          <w:highlight w:val="none"/>
        </w:rPr>
        <w:t>份，具有同等法律效力。</w:t>
      </w:r>
    </w:p>
    <w:p w14:paraId="4D2BD57B">
      <w:pPr>
        <w:spacing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第十五条  附件</w:t>
      </w:r>
    </w:p>
    <w:p w14:paraId="619DD260">
      <w:pPr>
        <w:pStyle w:val="7"/>
        <w:spacing w:line="360" w:lineRule="auto"/>
        <w:rPr>
          <w:rFonts w:hint="eastAsia" w:ascii="宋体" w:hAnsi="宋体"/>
          <w:sz w:val="21"/>
          <w:szCs w:val="21"/>
          <w:highlight w:val="none"/>
        </w:rPr>
      </w:pPr>
      <w:r>
        <w:rPr>
          <w:rFonts w:hint="eastAsia" w:ascii="宋体" w:hAnsi="宋体"/>
          <w:sz w:val="21"/>
          <w:szCs w:val="21"/>
          <w:highlight w:val="none"/>
        </w:rPr>
        <w:t>1.项目招标文件</w:t>
      </w:r>
    </w:p>
    <w:p w14:paraId="365A3C41">
      <w:pPr>
        <w:pStyle w:val="7"/>
        <w:spacing w:line="360" w:lineRule="auto"/>
        <w:rPr>
          <w:rFonts w:hint="eastAsia" w:ascii="宋体" w:hAnsi="宋体"/>
          <w:sz w:val="21"/>
          <w:szCs w:val="21"/>
          <w:highlight w:val="none"/>
        </w:rPr>
      </w:pPr>
      <w:r>
        <w:rPr>
          <w:rFonts w:hint="eastAsia" w:ascii="宋体" w:hAnsi="宋体"/>
          <w:sz w:val="21"/>
          <w:szCs w:val="21"/>
          <w:highlight w:val="none"/>
        </w:rPr>
        <w:t>2.项目修改澄清文件</w:t>
      </w:r>
    </w:p>
    <w:p w14:paraId="70D10EED">
      <w:pPr>
        <w:pStyle w:val="7"/>
        <w:spacing w:line="360" w:lineRule="auto"/>
        <w:rPr>
          <w:rFonts w:hint="eastAsia" w:ascii="宋体" w:hAnsi="宋体"/>
          <w:sz w:val="21"/>
          <w:szCs w:val="21"/>
          <w:highlight w:val="none"/>
        </w:rPr>
      </w:pPr>
      <w:r>
        <w:rPr>
          <w:rFonts w:hint="eastAsia" w:ascii="宋体" w:hAnsi="宋体"/>
          <w:sz w:val="21"/>
          <w:szCs w:val="21"/>
          <w:highlight w:val="none"/>
        </w:rPr>
        <w:t>3.项目投标文件</w:t>
      </w:r>
    </w:p>
    <w:p w14:paraId="2E455F29">
      <w:pPr>
        <w:pStyle w:val="7"/>
        <w:spacing w:line="360" w:lineRule="auto"/>
        <w:rPr>
          <w:rFonts w:hint="eastAsia" w:ascii="宋体" w:hAnsi="宋体"/>
          <w:sz w:val="21"/>
          <w:szCs w:val="21"/>
          <w:highlight w:val="none"/>
        </w:rPr>
      </w:pPr>
      <w:r>
        <w:rPr>
          <w:rFonts w:hint="eastAsia" w:ascii="宋体" w:hAnsi="宋体"/>
          <w:sz w:val="21"/>
          <w:szCs w:val="21"/>
          <w:highlight w:val="none"/>
        </w:rPr>
        <w:t>4.中标通知书</w:t>
      </w:r>
    </w:p>
    <w:p w14:paraId="052DF41D">
      <w:pPr>
        <w:pStyle w:val="7"/>
        <w:spacing w:line="360" w:lineRule="auto"/>
        <w:rPr>
          <w:rFonts w:hint="eastAsia" w:ascii="宋体" w:hAnsi="宋体"/>
          <w:sz w:val="21"/>
          <w:szCs w:val="21"/>
          <w:highlight w:val="none"/>
        </w:rPr>
      </w:pPr>
      <w:r>
        <w:rPr>
          <w:rFonts w:hint="eastAsia" w:ascii="宋体" w:hAnsi="宋体"/>
          <w:sz w:val="21"/>
          <w:szCs w:val="21"/>
          <w:highlight w:val="none"/>
        </w:rPr>
        <w:t>5.其他</w:t>
      </w:r>
    </w:p>
    <w:p w14:paraId="7ACD6538">
      <w:pPr>
        <w:spacing w:line="360" w:lineRule="auto"/>
        <w:rPr>
          <w:rFonts w:hint="eastAsia" w:ascii="宋体" w:hAnsi="宋体"/>
          <w:szCs w:val="21"/>
          <w:highlight w:val="none"/>
        </w:rPr>
      </w:pPr>
    </w:p>
    <w:p w14:paraId="71FFD934">
      <w:pPr>
        <w:spacing w:line="360" w:lineRule="auto"/>
        <w:ind w:firstLine="420" w:firstLineChars="200"/>
        <w:rPr>
          <w:rFonts w:ascii="宋体" w:hAnsi="宋体"/>
          <w:szCs w:val="21"/>
          <w:highlight w:val="none"/>
        </w:rPr>
      </w:pPr>
      <w:r>
        <w:rPr>
          <w:rFonts w:hint="eastAsia" w:ascii="宋体" w:hAnsi="宋体"/>
          <w:szCs w:val="21"/>
          <w:highlight w:val="none"/>
        </w:rPr>
        <w:t>甲方：   （盖章）</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ascii="宋体" w:hAnsi="宋体"/>
          <w:szCs w:val="21"/>
          <w:highlight w:val="none"/>
        </w:rPr>
        <w:t xml:space="preserve">    </w:t>
      </w:r>
      <w:r>
        <w:rPr>
          <w:rFonts w:hint="eastAsia" w:ascii="宋体" w:hAnsi="宋体"/>
          <w:szCs w:val="21"/>
          <w:highlight w:val="none"/>
        </w:rPr>
        <w:t xml:space="preserve">   乙方：</w:t>
      </w:r>
      <w:r>
        <w:rPr>
          <w:rFonts w:ascii="宋体" w:hAnsi="宋体"/>
          <w:szCs w:val="21"/>
          <w:highlight w:val="none"/>
        </w:rPr>
        <w:t xml:space="preserve">   </w:t>
      </w:r>
      <w:r>
        <w:rPr>
          <w:rFonts w:hint="eastAsia" w:ascii="宋体" w:hAnsi="宋体"/>
          <w:szCs w:val="21"/>
          <w:highlight w:val="none"/>
        </w:rPr>
        <w:t>（盖章）</w:t>
      </w:r>
    </w:p>
    <w:p w14:paraId="47D604C6">
      <w:pPr>
        <w:spacing w:line="360" w:lineRule="auto"/>
        <w:ind w:firstLine="420" w:firstLineChars="200"/>
        <w:rPr>
          <w:rFonts w:ascii="宋体" w:hAnsi="宋体"/>
          <w:szCs w:val="21"/>
          <w:highlight w:val="none"/>
        </w:rPr>
      </w:pPr>
      <w:r>
        <w:rPr>
          <w:rFonts w:hint="eastAsia" w:ascii="宋体" w:hAnsi="宋体"/>
          <w:szCs w:val="21"/>
          <w:highlight w:val="none"/>
        </w:rPr>
        <w:t>法定代表人（委托代理人）：</w:t>
      </w:r>
      <w:r>
        <w:rPr>
          <w:rFonts w:ascii="宋体" w:hAnsi="宋体"/>
          <w:szCs w:val="21"/>
          <w:highlight w:val="none"/>
        </w:rPr>
        <w:t xml:space="preserve">           </w:t>
      </w:r>
      <w:r>
        <w:rPr>
          <w:rFonts w:hint="eastAsia" w:ascii="宋体" w:hAnsi="宋体"/>
          <w:szCs w:val="21"/>
          <w:highlight w:val="none"/>
        </w:rPr>
        <w:t xml:space="preserve">   法定代表人（委托代理人）：</w:t>
      </w:r>
    </w:p>
    <w:p w14:paraId="23CE0B1E">
      <w:pPr>
        <w:spacing w:line="360" w:lineRule="auto"/>
        <w:ind w:firstLine="420" w:firstLineChars="200"/>
        <w:rPr>
          <w:rFonts w:ascii="宋体" w:hAns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p>
    <w:p w14:paraId="27A9D781">
      <w:pPr>
        <w:spacing w:line="360" w:lineRule="auto"/>
        <w:ind w:firstLine="420" w:firstLineChars="200"/>
        <w:rPr>
          <w:rFonts w:ascii="宋体" w:hAnsi="宋体"/>
          <w:szCs w:val="21"/>
          <w:highlight w:val="none"/>
        </w:rPr>
      </w:pPr>
      <w:r>
        <w:rPr>
          <w:rFonts w:hint="eastAsia" w:ascii="宋体" w:hAnsi="宋体"/>
          <w:szCs w:val="21"/>
          <w:highlight w:val="none"/>
        </w:rPr>
        <w:t>开户银行：</w:t>
      </w:r>
      <w:r>
        <w:rPr>
          <w:rFonts w:ascii="宋体" w:hAnsi="宋体"/>
          <w:szCs w:val="21"/>
          <w:highlight w:val="none"/>
        </w:rPr>
        <w:t xml:space="preserve">                         </w:t>
      </w:r>
      <w:r>
        <w:rPr>
          <w:rFonts w:hint="eastAsia" w:ascii="宋体" w:hAnsi="宋体"/>
          <w:szCs w:val="21"/>
          <w:highlight w:val="none"/>
        </w:rPr>
        <w:t xml:space="preserve">    开户银行：</w:t>
      </w:r>
    </w:p>
    <w:p w14:paraId="27390CD5">
      <w:pPr>
        <w:spacing w:line="360" w:lineRule="auto"/>
        <w:ind w:firstLine="420" w:firstLineChars="200"/>
        <w:rPr>
          <w:rFonts w:ascii="宋体" w:hAnsi="宋体"/>
          <w:szCs w:val="21"/>
          <w:highlight w:val="none"/>
        </w:rPr>
      </w:pPr>
      <w:r>
        <w:rPr>
          <w:rFonts w:hint="eastAsia" w:ascii="宋体" w:hAnsi="宋体"/>
          <w:szCs w:val="21"/>
          <w:highlight w:val="none"/>
        </w:rPr>
        <w:t>账号：</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账号：</w:t>
      </w:r>
    </w:p>
    <w:p w14:paraId="59DA44DA">
      <w:pPr>
        <w:spacing w:line="360" w:lineRule="auto"/>
        <w:ind w:firstLine="420" w:firstLineChars="200"/>
        <w:rPr>
          <w:rFonts w:ascii="宋体" w:hAns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rPr>
        <w:t xml:space="preserve">                         </w:t>
      </w:r>
      <w:r>
        <w:rPr>
          <w:rFonts w:hint="eastAsia" w:ascii="宋体" w:hAnsi="宋体"/>
          <w:szCs w:val="21"/>
          <w:highlight w:val="none"/>
        </w:rPr>
        <w:t xml:space="preserve">    电</w:t>
      </w:r>
      <w:r>
        <w:rPr>
          <w:rFonts w:ascii="宋体" w:hAnsi="宋体"/>
          <w:szCs w:val="21"/>
          <w:highlight w:val="none"/>
        </w:rPr>
        <w:t xml:space="preserve">    </w:t>
      </w:r>
      <w:r>
        <w:rPr>
          <w:rFonts w:hint="eastAsia" w:ascii="宋体" w:hAnsi="宋体"/>
          <w:szCs w:val="21"/>
          <w:highlight w:val="none"/>
        </w:rPr>
        <w:t>话：</w:t>
      </w:r>
    </w:p>
    <w:p w14:paraId="4BD56DA9">
      <w:pPr>
        <w:spacing w:line="360" w:lineRule="auto"/>
        <w:ind w:firstLine="420" w:firstLineChars="200"/>
        <w:rPr>
          <w:rFonts w:ascii="宋体" w:hAnsi="宋体"/>
          <w:szCs w:val="21"/>
          <w:highlight w:val="none"/>
        </w:rPr>
      </w:pP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p>
    <w:p w14:paraId="257D86A0">
      <w:pPr>
        <w:ind w:firstLine="420" w:firstLineChars="200"/>
      </w:pPr>
      <w:r>
        <w:rPr>
          <w:rFonts w:hint="eastAsia" w:ascii="宋体" w:hAnsi="宋体"/>
          <w:szCs w:val="21"/>
          <w:highlight w:val="none"/>
        </w:rPr>
        <w:t>签约日期：  年  月  日</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签约日期：    年  月  </w:t>
      </w:r>
      <w:r>
        <w:rPr>
          <w:rFonts w:hint="eastAsia" w:ascii="宋体" w:hAnsi="宋体"/>
          <w:color w:val="000000"/>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7675"/>
    <w:rsid w:val="05304F9C"/>
    <w:rsid w:val="0CFC0647"/>
    <w:rsid w:val="31833929"/>
    <w:rsid w:val="463516D7"/>
    <w:rsid w:val="4EDC3E46"/>
    <w:rsid w:val="6D773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579" w:lineRule="exact"/>
      <w:ind w:firstLine="800" w:firstLineChars="200"/>
    </w:pPr>
    <w:rPr>
      <w:rFonts w:ascii="Times New Roman" w:hAnsi="Times New Roman"/>
      <w:szCs w:val="32"/>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1885</Words>
  <Characters>1936</Characters>
  <Lines>0</Lines>
  <Paragraphs>0</Paragraphs>
  <TotalTime>0</TotalTime>
  <ScaleCrop>false</ScaleCrop>
  <LinksUpToDate>false</LinksUpToDate>
  <CharactersWithSpaces>2248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2025-06-18T03:15:00Z</dcterms:created>
  <dc:creator>Administrator</dc:creator>
  <cp:lastModifiedBy>┏ ☞岗か子™</cp:lastModifiedBy>
  <dcterms:modified xsi:type="dcterms:W3CDTF">2025-10-20T09:45:08Z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B3BF24ACD49B4419999E6A961F9C5AFD_12</vt:lpwstr>
  </property>
</Properties>
</file>