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版本号：ZXGJLTFGS-2025-01820251022001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临潼石榴提质增效项目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ZXGJLTFGS-2025-018</w:t>
      </w:r>
      <w:r>
        <w:br/>
      </w:r>
      <w:r>
        <w:br/>
      </w:r>
      <w:r>
        <w:br/>
      </w:r>
    </w:p>
    <w:p>
      <w:pPr>
        <w:pStyle w:val="null3"/>
        <w:jc w:val="center"/>
        <w:outlineLvl w:val="2"/>
      </w:pPr>
      <w:r>
        <w:rPr>
          <w:rFonts w:ascii="仿宋_GB2312" w:hAnsi="仿宋_GB2312" w:cs="仿宋_GB2312" w:eastAsia="仿宋_GB2312"/>
          <w:sz w:val="28"/>
          <w:b/>
        </w:rPr>
        <w:t>西安市临潼区园艺工作站</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西安市临潼区园艺工作站</w:t>
      </w:r>
      <w:r>
        <w:rPr>
          <w:rFonts w:ascii="仿宋_GB2312" w:hAnsi="仿宋_GB2312" w:cs="仿宋_GB2312" w:eastAsia="仿宋_GB2312"/>
        </w:rPr>
        <w:t>委托，拟对</w:t>
      </w:r>
      <w:r>
        <w:rPr>
          <w:rFonts w:ascii="仿宋_GB2312" w:hAnsi="仿宋_GB2312" w:cs="仿宋_GB2312" w:eastAsia="仿宋_GB2312"/>
        </w:rPr>
        <w:t>临潼石榴提质增效项目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ZXGJLTFGS-2025-018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临潼石榴提质增效项目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对临潼石榴产区实施品种改良，通过高接换头、栽植新品种苗木、标准化提升，改善品种结构，提升石榴品质，增强市场竞争力，打造优质品牌， 推动临潼特色果业持续健康发展，助力乡村振兴，实现巩固脱贫攻坚成果与乡村振兴有效衔接。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1、法定代表人授权书或身份证明：提供法定代表人授权书（附法定代表人、被授权人身份证复印件）（法定代表人直接参加磋商，须提供法定代表人身份证明）；非法人单位参照执行；</w:t>
      </w:r>
    </w:p>
    <w:p>
      <w:pPr>
        <w:pStyle w:val="null3"/>
      </w:pPr>
      <w:r>
        <w:rPr>
          <w:rFonts w:ascii="仿宋_GB2312" w:hAnsi="仿宋_GB2312" w:cs="仿宋_GB2312" w:eastAsia="仿宋_GB2312"/>
        </w:rPr>
        <w:t>2、供应商信用记录：供应商不得为“信用中国(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西安市临潼区园艺工作站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临潼区党校路9号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苏海艳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13571991354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武蓬勃、王超、王涛、李博飞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029-83938602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代理服务费收费标准：招标代理服务费由成交单位在领取成交通知书前一次性支付该费用。 1、招标代理费金额以中标金额为基数参照国家计委颁发的《招标代理服务收费管理暂行办法》（计价格〔2002〕1980号）、国家发展改革委员会办公厅颁发的《关于招标代理服务收费有关问题的通知》（发改办价格〔2003〕 857号）、《国家发展改革委关于降低部分建设项目收费标准规范收费行为等有关问题的通知》（发改价格〔2011〕534号）的有关规定执行； 2、招标代理服务费账户 名称：中昕国际项目管理有限公司临潼分公司 开户行：中国工商银行股份有限公司西安临潼区支行 账号：3700029209200213959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西安市临潼区园艺工作站</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西安市临潼区园艺工作站</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西安市临潼区园艺工作站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联系人：武蓬勃</w:t>
      </w:r>
    </w:p>
    <w:p>
      <w:pPr>
        <w:pStyle w:val="null3"/>
      </w:pPr>
      <w:r>
        <w:rPr>
          <w:rFonts w:ascii="仿宋_GB2312" w:hAnsi="仿宋_GB2312" w:cs="仿宋_GB2312" w:eastAsia="仿宋_GB2312"/>
        </w:rPr>
        <w:t>联系电话：029-83938602</w:t>
      </w:r>
    </w:p>
    <w:p>
      <w:pPr>
        <w:pStyle w:val="null3"/>
      </w:pPr>
      <w:r>
        <w:rPr>
          <w:rFonts w:ascii="仿宋_GB2312" w:hAnsi="仿宋_GB2312" w:cs="仿宋_GB2312" w:eastAsia="仿宋_GB2312"/>
        </w:rPr>
        <w:t>地址：西安市临潼区东关街与人民东路交叉口南100米建筑工程公司院内</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对临潼石榴产区实施品种改良，通过高接换头、栽植新品种苗木、标准化提升，改善品种结构，提升石榴品质，增强市场竞争力，打造优质品牌， 推动临潼特色果业持续健康发展，助力乡村振兴，实现巩固脱贫攻坚成果与乡村振兴有效衔接。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临潼石榴提质增效项目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标的名称：临潼石榴提质增效项目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color w:val="000000"/>
              </w:rPr>
              <w:t>马额、代王、斜口、骊山、秦陵等街办</w:t>
            </w:r>
            <w:r>
              <w:rPr>
                <w:rFonts w:ascii="仿宋_GB2312" w:hAnsi="仿宋_GB2312" w:cs="仿宋_GB2312" w:eastAsia="仿宋_GB2312"/>
                <w:sz w:val="20"/>
                <w:color w:val="000000"/>
              </w:rPr>
              <w:t>140</w:t>
            </w:r>
            <w:r>
              <w:rPr>
                <w:rFonts w:ascii="仿宋_GB2312" w:hAnsi="仿宋_GB2312" w:cs="仿宋_GB2312" w:eastAsia="仿宋_GB2312"/>
                <w:sz w:val="20"/>
                <w:color w:val="000000"/>
              </w:rPr>
              <w:t>亩的</w:t>
            </w:r>
            <w:r>
              <w:rPr>
                <w:rFonts w:ascii="仿宋_GB2312" w:hAnsi="仿宋_GB2312" w:cs="仿宋_GB2312" w:eastAsia="仿宋_GB2312"/>
                <w:sz w:val="20"/>
                <w:color w:val="000000"/>
              </w:rPr>
              <w:t>修剪嫁接新品种改良</w:t>
            </w:r>
            <w:r>
              <w:rPr>
                <w:rFonts w:ascii="仿宋_GB2312" w:hAnsi="仿宋_GB2312" w:cs="仿宋_GB2312" w:eastAsia="仿宋_GB2312"/>
                <w:sz w:val="20"/>
                <w:color w:val="000000"/>
              </w:rPr>
              <w:t>；</w:t>
            </w:r>
            <w:r>
              <w:rPr>
                <w:rFonts w:ascii="仿宋_GB2312" w:hAnsi="仿宋_GB2312" w:cs="仿宋_GB2312" w:eastAsia="仿宋_GB2312"/>
                <w:sz w:val="20"/>
                <w:color w:val="000000"/>
              </w:rPr>
              <w:t>秦陵、仁宗、骊山、马额、斜口等街办</w:t>
            </w:r>
            <w:r>
              <w:rPr>
                <w:rFonts w:ascii="仿宋_GB2312" w:hAnsi="仿宋_GB2312" w:cs="仿宋_GB2312" w:eastAsia="仿宋_GB2312"/>
                <w:sz w:val="20"/>
                <w:color w:val="000000"/>
              </w:rPr>
              <w:t>的</w:t>
            </w:r>
            <w:r>
              <w:rPr>
                <w:rFonts w:ascii="仿宋_GB2312" w:hAnsi="仿宋_GB2312" w:cs="仿宋_GB2312" w:eastAsia="仿宋_GB2312"/>
                <w:sz w:val="20"/>
                <w:color w:val="000000"/>
              </w:rPr>
              <w:t>240亩</w:t>
            </w:r>
            <w:r>
              <w:rPr>
                <w:rFonts w:ascii="仿宋_GB2312" w:hAnsi="仿宋_GB2312" w:cs="仿宋_GB2312" w:eastAsia="仿宋_GB2312"/>
                <w:sz w:val="20"/>
                <w:color w:val="000000"/>
              </w:rPr>
              <w:t>新品种苗木栽植</w:t>
            </w:r>
            <w:r>
              <w:rPr>
                <w:rFonts w:ascii="仿宋_GB2312" w:hAnsi="仿宋_GB2312" w:cs="仿宋_GB2312" w:eastAsia="仿宋_GB2312"/>
                <w:sz w:val="20"/>
                <w:color w:val="000000"/>
              </w:rPr>
              <w:t>；</w:t>
            </w:r>
            <w:r>
              <w:rPr>
                <w:rFonts w:ascii="仿宋_GB2312" w:hAnsi="仿宋_GB2312" w:cs="仿宋_GB2312" w:eastAsia="仿宋_GB2312"/>
                <w:sz w:val="20"/>
                <w:color w:val="000000"/>
              </w:rPr>
              <w:t>购置嫁接材料、工具等</w:t>
            </w:r>
            <w:r>
              <w:rPr>
                <w:rFonts w:ascii="仿宋_GB2312" w:hAnsi="仿宋_GB2312" w:cs="仿宋_GB2312" w:eastAsia="仿宋_GB2312"/>
                <w:sz w:val="20"/>
                <w:color w:val="000000"/>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项目实施且验收完成后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服务或服务质量不能满足服务要求和标准，采购人有权终止合同，并对供方违约行为进行追究，同时按《中华人民共和国政府采购法》的有关规定进行处罚。3.合同一经签订，不得随意变更、中止或终止。对确需变更、调整或者中止、终止合同的，应按规定履行相应的手续。合同执行中发生争议的，甲、乙双方应协商解决，协商达不成一致时，可向甲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1、本项目不专门面向中小企业采购； 2、本项目属性：服务类；本项目采购标的所属行业为：农、林、牧、渔业。（按照《工信部 国家统计局 发改委 财政部 工信部联企业》中小企业划型标准（〔2011〕300号）规定：营业收入20000万元以下的为中小微型企业。其中，营业收入500万元及以上的为中型企业，营业收入50万元及以上的为小型企业，营业收入50万元以下的为微型企业。 3、成交供应商在成交结果发布后3个工作日内无偿向代理机构提供纸质版响应文件三套，电子U盘二个（U盘内容包括Word版本、与系统上传后导出完全一致的PDF版响应文件）。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 （2）根据临财函〔2025〕199号《关于扩大政府采购供应商基本资格条件承诺制试点工作范围的通知》，供应商出具参加本次政府采购活动供应商资格条件承诺函（供应商未提供资格信用承诺函的，应当按照《中华人民共和国政府采购法》及其实施条例的相关规定提供相应的证明材料）。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临财函〔2025〕199号《关于扩大政府采购供应商基本资格条件承诺制试点工作范围的通知》，供应商出具参加本次政府采购活动供应商资格条件承诺函（供应商未提供资格信用承诺函的，应当按照《中华人民共和国政府采购法》及其实施条例的相关规定提供相应的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提供法定代表人授权书（附法定代表人、被授权人身份证复印件）（法定代表人直接参加磋商，须提供法定代表人身份证明）；非法人单位参照执行；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供应商信用记录</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商务技术响应文件.docx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响应文件签署、盖章均符合磋商文件要求。</w:t>
            </w:r>
          </w:p>
        </w:tc>
        <w:tc>
          <w:tcPr>
            <w:tcW w:type="dxa" w:w="1661"/>
          </w:tcPr>
          <w:p>
            <w:pPr>
              <w:pStyle w:val="null3"/>
            </w:pPr>
            <w:r>
              <w:rPr>
                <w:rFonts w:ascii="仿宋_GB2312" w:hAnsi="仿宋_GB2312" w:cs="仿宋_GB2312" w:eastAsia="仿宋_GB2312"/>
              </w:rPr>
              <w:t>响应文件封面 商务技术响应文件.docx 中小企业声明函 残疾人福利性单位声明函 标的清单 报价表 响应函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响应文件未出现磋商文件、法律法规规定的无效响应情形。</w:t>
            </w:r>
          </w:p>
        </w:tc>
        <w:tc>
          <w:tcPr>
            <w:tcW w:type="dxa" w:w="1661"/>
          </w:tcPr>
          <w:p>
            <w:pPr>
              <w:pStyle w:val="null3"/>
            </w:pPr>
            <w:r>
              <w:rPr>
                <w:rFonts w:ascii="仿宋_GB2312" w:hAnsi="仿宋_GB2312" w:cs="仿宋_GB2312" w:eastAsia="仿宋_GB2312"/>
              </w:rPr>
              <w:t>响应文件封面 商务技术响应文件.docx 中小企业声明函 残疾人福利性单位声明函 标的清单 报价表 响应函 资格证明文件.docx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对本项目的情况理解</w:t>
            </w:r>
          </w:p>
        </w:tc>
        <w:tc>
          <w:tcPr>
            <w:tcW w:type="dxa" w:w="2492"/>
          </w:tcPr>
          <w:p>
            <w:pPr>
              <w:pStyle w:val="null3"/>
            </w:pPr>
            <w:r>
              <w:rPr>
                <w:rFonts w:ascii="仿宋_GB2312" w:hAnsi="仿宋_GB2312" w:cs="仿宋_GB2312" w:eastAsia="仿宋_GB2312"/>
              </w:rPr>
              <w:t>针对本项目提供具体可行的整体服务方案，至少包括：①对本项目的解读及项目需求分析；②服务总体框架；③修剪嫁接、栽植养护的服务流程。以上内容完整、描述详尽、符合项目实际采购需求的，得9分；每缺少一项扣3分；虽提供但所述内容有缺陷扣0.5分/处，每项内容最多扣3分，扣完为止。(缺陷是指：存在不适用项目实际情况的情形、凭空编造、方案中内容前后不一致、前后逻辑错误、涉及的规范及标准错误、地点区域错误、内容缺失、与采购需求不符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商务技术响应文件.docx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1.备货、供货进度的技术组织措施。【4分】 ①内容完整全面详细、合理具体，内容能够紧扣项目实际情况，条理清晰的计4分； ②内容完整，但条理不清晰、措施不具体或无紧扣项目实际情况的计3分； ③仅有框架，无实质性实施内容的或内容宽泛的计2分； ④内容粗略、逻辑混乱、出现常识性错误、存在不可能实现的夸大情形的计1分； ⑤未提供相关内容的不计分。 2.本项目材料采购、验收及储备措施。【4分】 ①材料采购来源渠道清晰、验收程序完整合规、储备设施完善的计4分； ②材料采购来源渠道未明确、验收程序完整度缺失、储备设施不能满足项目需求的计3分； ③仅有框架，无具体实施措施的计2分； ④内容粗略、逻辑混乱、出现常识性错误、存在不可能实现的夸大情形的计1分； ⑤未提供相关内容的不计分。 3.拟投入本项目施工机械设备。【4分】 ①针对本项目拟投入的施工机械设备，充足、完备、先进、可行的，得4分； ②针对本项目拟投入的施工机械设备，较为先进、合理可行，得3分； ③针对本项目拟投入的施工机械设备，相对先进、相对合理可行，得2分； ④针对本项目拟投入的施工机械设备，较先进、基本合理可行，得1分； ⑤无内容不得分。 4.应急预案及处理措施。【4分】 ①方案及措施详细全面、完善合理，计4分； ②方案及措施描述有些许瑕疵，但不影响总体实施措施的，计3分； ③方案内容全面，但关键不突出、措施不具体，计2分； ④方案内容有缺项，仅有粗略框架无具体措施，计1分； ⑤未提供相关内容的不计分。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商务技术响应文件.docx</w:t>
            </w:r>
          </w:p>
        </w:tc>
      </w:tr>
      <w:tr>
        <w:tc>
          <w:tcPr>
            <w:tcW w:type="dxa" w:w="831"/>
            <w:vMerge/>
          </w:tcPr>
          <w:p/>
        </w:tc>
        <w:tc>
          <w:tcPr>
            <w:tcW w:type="dxa" w:w="1661"/>
          </w:tcPr>
          <w:p>
            <w:pPr>
              <w:pStyle w:val="null3"/>
            </w:pPr>
            <w:r>
              <w:rPr>
                <w:rFonts w:ascii="仿宋_GB2312" w:hAnsi="仿宋_GB2312" w:cs="仿宋_GB2312" w:eastAsia="仿宋_GB2312"/>
              </w:rPr>
              <w:t>安全生产管理措施</w:t>
            </w:r>
          </w:p>
        </w:tc>
        <w:tc>
          <w:tcPr>
            <w:tcW w:type="dxa" w:w="2492"/>
          </w:tcPr>
          <w:p>
            <w:pPr>
              <w:pStyle w:val="null3"/>
            </w:pPr>
            <w:r>
              <w:rPr>
                <w:rFonts w:ascii="仿宋_GB2312" w:hAnsi="仿宋_GB2312" w:cs="仿宋_GB2312" w:eastAsia="仿宋_GB2312"/>
              </w:rPr>
              <w:t>保护好林木，植被等作物，警惕苗木防火，提供具体、可行的方案措施。【5分】 ①方案及措施详细全面、完善合理，计5分； ②方案及措施描述有些许瑕疵，但不影响总体实施措施的，计4份； ③方案内容全面，但关键不突出、措施不具体，计3分； ④方案内容有缺项，仅有粗略框架无具体措施，计2分； ⑤方案内容与本项目实施内容相关度不大、逻辑混乱，计1分； 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商务技术响应文件.docx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针对本项目有具体的质量保证方案，包含但不限于：①质量管理制度；②质量保证期限及质量保证范围；③质量保证承诺及措施。 以上内容完整、描述详尽、符合项目实际采购需求的，得12分；每缺少一项扣4分； 虽提供但所述内容有缺陷扣1分/处，每项内容最多扣4分，扣完为止。(缺陷是指：存在不适用项目实际情况的情形、凭空编造、方案中内容前后不一致、前后逻辑错误、涉及的规范及标准错误、地点区域错误、内容缺失、与采购需求不符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商务技术响应文件.docx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1.1拟派项目负责人要求【3分】 ①拟派项目负责人提供身份证及毕业证复印件，得1分，不提供不得分。 ②拟派项目负责人具有相关项目丰富的经验与能力，每提供一个类似项目业绩得2分，最多得2分（提供合同复印件并加盖公章，合同须体现项目负责人姓名） 1.2.拟投入本项目的人员安排及责任制度。【4分】 ①内容完整全面详细、合理具体，内容能够紧扣项目实际情况，条理清晰的计4分； ②内容完整，但条理不清晰、措施不具体或无紧扣项目实际情况的计3分； ③仅有框架，无实质性实施内容的或内容宽泛的计2分； ④内容粗略、逻辑混乱、出现常识性错误、存在不可能实现的夸大情形的计1分；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商务技术响应文件.docx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履约能力承诺详细完整；具体包括服务期、服务质量、运输设施工具、苗木成活率等方面进行评审。 ①内容详细全面、完整、完善可行的计5分； ②内容包含全面，但措施不具体，内容不详细的计4分； ③针对以上要求，有1项欠缺的计3分； ④针对以上要求，有2项欠缺的计2分； ⑤有3项以上重大欠缺的计1分； 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商务技术响应文件.docx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提供供应商2022年01月至今类似项目业绩，每份计2分，计满6分为止。（提供合同复印件或扫描件，以合同签署时间为准）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商务技术响应文件.docx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售后服务方案包括但不限于拟投入售后服务人员配置情况（提供售后服务人员身份证及联系方式）、项目交付用户后出现问题响应时间及措施。 ①内容详细全面、完整、完善可行的计10分； ②内容包含全面，但措施描述有些许瑕疵，但不影响总体方案的的计8分； ③内容包含全面，但关键不突出、措施不具体，未提供售后服务人员身份证及联系方式的计6分； ④针对以上要求，有1项欠缺的计4分； ⑤有2项欠缺的计2分； ⑥有3项重大缺项或内容逻辑混乱、有常识性错误等情况的计1分； ⑦未提供相关内容的不计分。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商务技术响应文件.docx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2.满足磋商文件实质性要求且最终报价最低的供应商的价格为磋商基准价，其价格分为满分30分。 3.磋商报价得分=（磋商基准价/最终磋商报价）×30的公式计算得分。 4.磋商报价不完整的，不进入基准价的计算，本项得0分。满足落实政府采购相关政策的,用扣除后的价格参与评审。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详见附件：商务技术响应文件.docx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