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版本号：ZXGJLTFGS-2025-02120251111001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相桥街办朝阳村蛋鸡养殖场项目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ZXGJLTFGS-2025-021</w:t>
      </w:r>
      <w:r>
        <w:br/>
      </w:r>
      <w:r>
        <w:br/>
      </w:r>
      <w:r>
        <w:br/>
      </w:r>
    </w:p>
    <w:p>
      <w:pPr>
        <w:pStyle w:val="null3"/>
        <w:jc w:val="center"/>
        <w:outlineLvl w:val="2"/>
      </w:pPr>
      <w:r>
        <w:rPr>
          <w:rFonts w:ascii="仿宋_GB2312" w:hAnsi="仿宋_GB2312" w:cs="仿宋_GB2312" w:eastAsia="仿宋_GB2312"/>
          <w:sz w:val="28"/>
          <w:b/>
        </w:rPr>
        <w:t>西安市临潼区相桥街道办事处</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西安市临潼区相桥街道办事处</w:t>
      </w:r>
      <w:r>
        <w:rPr>
          <w:rFonts w:ascii="仿宋_GB2312" w:hAnsi="仿宋_GB2312" w:cs="仿宋_GB2312" w:eastAsia="仿宋_GB2312"/>
        </w:rPr>
        <w:t>委托，拟对</w:t>
      </w:r>
      <w:r>
        <w:rPr>
          <w:rFonts w:ascii="仿宋_GB2312" w:hAnsi="仿宋_GB2312" w:cs="仿宋_GB2312" w:eastAsia="仿宋_GB2312"/>
        </w:rPr>
        <w:t>相桥街办朝阳村蛋鸡养殖场项目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ZXGJLTFGS-2025-021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相桥街办朝阳村蛋鸡养殖场项目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包括新建高标准现代化鸡舍2栋，每栋1092平方米，蛋库1栋249平方米。每栋鸡舍配备笼网系统、喂料系统、清粪系统、集蛋系统、通风系统、照明系统、环控系统各一套及附属设施。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采购包1（相桥街办朝阳村蛋鸡养殖场项目）：属于专门面向中小企业采购。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2、供应商资质要求：供应商须具备建设行政主管部门颁发的建筑工程施工总承包三级（含三级）以上资质，且具备有效的安全生产许可证；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3、拟派项目经理资质要求：拟派项目经理具备建筑工程二级及以上注册建造师证书和安全生产考核合格证（B证），在本单位注册且无在建工程（提供无在建工程承诺书）；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15229249170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武蓬勃、王超、王涛、李博飞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029-83938602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代理服务费收费标准：1、招标代理服务费分为招标代理费和造价咨询费，成交单位在领取成交通知书前一次性支付该费用。 （1）招标代理费金额以中标金额为基数参照国家计委颁发的《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有关规定的90%执行；（2）造价咨询费以最高限价为基数参照《关于我省工程造价咨询服务收费标准有关问题的通知》陕价行发〔2014〕88号标准的90%执行。 2、招标代理服务费账户 名称：中昕国际项目管理有限公司临潼分公司 开户行：中国工商银行股份有限公司西安临潼区支行 账号：3700029209200213959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西安市临潼区相桥街道办事处</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联系人：武蓬勃</w:t>
      </w:r>
    </w:p>
    <w:p>
      <w:pPr>
        <w:pStyle w:val="null3"/>
      </w:pPr>
      <w:r>
        <w:rPr>
          <w:rFonts w:ascii="仿宋_GB2312" w:hAnsi="仿宋_GB2312" w:cs="仿宋_GB2312" w:eastAsia="仿宋_GB2312"/>
        </w:rPr>
        <w:t>联系电话：02983938602</w:t>
      </w:r>
    </w:p>
    <w:p>
      <w:pPr>
        <w:pStyle w:val="null3"/>
      </w:pPr>
      <w:r>
        <w:rPr>
          <w:rFonts w:ascii="仿宋_GB2312" w:hAnsi="仿宋_GB2312" w:cs="仿宋_GB2312" w:eastAsia="仿宋_GB2312"/>
        </w:rPr>
        <w:t>地址：西安市临潼区东关街与人民东路交叉口南100米建筑工程公司院内</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3,530,000.00</w:t>
      </w:r>
    </w:p>
    <w:p>
      <w:pPr>
        <w:pStyle w:val="null3"/>
      </w:pPr>
      <w:r>
        <w:rPr>
          <w:rFonts w:ascii="仿宋_GB2312" w:hAnsi="仿宋_GB2312" w:cs="仿宋_GB2312" w:eastAsia="仿宋_GB2312"/>
        </w:rPr>
        <w:t>采购包最高限价（元）: 3,530,000.00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相桥街办朝阳村蛋鸡养殖场项目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标的名称：相桥街办朝阳村蛋鸡养殖场项目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 xml:space="preserve"> </w:t>
            </w:r>
            <w:r>
              <w:rPr>
                <w:rFonts w:ascii="仿宋_GB2312" w:hAnsi="仿宋_GB2312" w:cs="仿宋_GB2312" w:eastAsia="仿宋_GB2312"/>
                <w:sz w:val="24"/>
              </w:rPr>
              <w:t xml:space="preserve"> 一</w:t>
            </w:r>
            <w:r>
              <w:rPr>
                <w:rFonts w:ascii="仿宋_GB2312" w:hAnsi="仿宋_GB2312" w:cs="仿宋_GB2312" w:eastAsia="仿宋_GB2312"/>
                <w:sz w:val="21"/>
              </w:rPr>
              <w:t>、项目概况</w:t>
            </w:r>
          </w:p>
          <w:p>
            <w:pPr>
              <w:pStyle w:val="null3"/>
              <w:ind w:firstLine="420"/>
            </w:pPr>
            <w:r>
              <w:rPr>
                <w:rFonts w:ascii="仿宋_GB2312" w:hAnsi="仿宋_GB2312" w:cs="仿宋_GB2312" w:eastAsia="仿宋_GB2312"/>
                <w:sz w:val="21"/>
              </w:rPr>
              <w:t>包括新建高标准现代化鸡舍2栋，每栋1092平方米，蛋库1栋249平方米。每</w:t>
            </w:r>
            <w:r>
              <w:rPr>
                <w:rFonts w:ascii="仿宋_GB2312" w:hAnsi="仿宋_GB2312" w:cs="仿宋_GB2312" w:eastAsia="仿宋_GB2312"/>
                <w:sz w:val="21"/>
              </w:rPr>
              <w:t>栋鸡舍配备笼网系统、喂料系统、清粪系统、集蛋系统、通风系统、照明系统、环控系统各一套及附属设施。</w:t>
            </w:r>
          </w:p>
          <w:p>
            <w:pPr>
              <w:pStyle w:val="null3"/>
              <w:ind w:firstLine="420"/>
            </w:pPr>
            <w:r>
              <w:rPr>
                <w:rFonts w:ascii="仿宋_GB2312" w:hAnsi="仿宋_GB2312" w:cs="仿宋_GB2312" w:eastAsia="仿宋_GB2312"/>
                <w:sz w:val="21"/>
              </w:rPr>
              <w:t>二、</w:t>
            </w:r>
            <w:r>
              <w:rPr>
                <w:rFonts w:ascii="仿宋_GB2312" w:hAnsi="仿宋_GB2312" w:cs="仿宋_GB2312" w:eastAsia="仿宋_GB2312"/>
                <w:sz w:val="21"/>
              </w:rPr>
              <w:t>工程地点：</w:t>
            </w:r>
            <w:r>
              <w:rPr>
                <w:rFonts w:ascii="仿宋_GB2312" w:hAnsi="仿宋_GB2312" w:cs="仿宋_GB2312" w:eastAsia="仿宋_GB2312"/>
                <w:sz w:val="21"/>
              </w:rPr>
              <w:t>相桥街办朝阳村</w:t>
            </w:r>
          </w:p>
          <w:p>
            <w:pPr>
              <w:pStyle w:val="null3"/>
              <w:ind w:firstLine="420"/>
            </w:pPr>
            <w:r>
              <w:rPr>
                <w:rFonts w:ascii="仿宋_GB2312" w:hAnsi="仿宋_GB2312" w:cs="仿宋_GB2312" w:eastAsia="仿宋_GB2312"/>
                <w:sz w:val="21"/>
              </w:rPr>
              <w:t>三、计划工期：</w:t>
            </w:r>
            <w:r>
              <w:rPr>
                <w:rFonts w:ascii="仿宋_GB2312" w:hAnsi="仿宋_GB2312" w:cs="仿宋_GB2312" w:eastAsia="仿宋_GB2312"/>
                <w:sz w:val="21"/>
              </w:rPr>
              <w:t>自合同签订之日起</w:t>
            </w:r>
            <w:r>
              <w:rPr>
                <w:rFonts w:ascii="仿宋_GB2312" w:hAnsi="仿宋_GB2312" w:cs="仿宋_GB2312" w:eastAsia="仿宋_GB2312"/>
                <w:sz w:val="21"/>
              </w:rPr>
              <w:t>60</w:t>
            </w:r>
            <w:r>
              <w:rPr>
                <w:rFonts w:ascii="仿宋_GB2312" w:hAnsi="仿宋_GB2312" w:cs="仿宋_GB2312" w:eastAsia="仿宋_GB2312"/>
                <w:sz w:val="21"/>
              </w:rPr>
              <w:t>个日历天</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color w:val="000000"/>
              </w:rPr>
              <w:t>四、质保期：</w:t>
            </w:r>
            <w:r>
              <w:rPr>
                <w:rFonts w:ascii="仿宋_GB2312" w:hAnsi="仿宋_GB2312" w:cs="仿宋_GB2312" w:eastAsia="仿宋_GB2312"/>
                <w:sz w:val="21"/>
              </w:rPr>
              <w:t>2年，高于《建设工程质量管理条例》规定的，按照其规定执行。</w:t>
            </w:r>
          </w:p>
          <w:p>
            <w:pPr>
              <w:pStyle w:val="null3"/>
              <w:ind w:firstLine="420"/>
            </w:pPr>
            <w:r>
              <w:rPr>
                <w:rFonts w:ascii="仿宋_GB2312" w:hAnsi="仿宋_GB2312" w:cs="仿宋_GB2312" w:eastAsia="仿宋_GB2312"/>
                <w:sz w:val="21"/>
              </w:rPr>
              <w:t>五</w:t>
            </w:r>
            <w:r>
              <w:rPr>
                <w:rFonts w:ascii="仿宋_GB2312" w:hAnsi="仿宋_GB2312" w:cs="仿宋_GB2312" w:eastAsia="仿宋_GB2312"/>
                <w:sz w:val="21"/>
              </w:rPr>
              <w:t>、工程量清单和计价依据</w:t>
            </w:r>
          </w:p>
          <w:p>
            <w:pPr>
              <w:pStyle w:val="null3"/>
              <w:ind w:firstLine="420"/>
            </w:pPr>
            <w:r>
              <w:rPr>
                <w:rFonts w:ascii="仿宋_GB2312" w:hAnsi="仿宋_GB2312" w:cs="仿宋_GB2312" w:eastAsia="仿宋_GB2312"/>
                <w:sz w:val="21"/>
              </w:rPr>
              <w:t>（一）计价依据：</w:t>
            </w:r>
          </w:p>
          <w:p>
            <w:pPr>
              <w:pStyle w:val="null3"/>
              <w:ind w:firstLine="420"/>
            </w:pPr>
            <w:r>
              <w:rPr>
                <w:rFonts w:ascii="仿宋_GB2312" w:hAnsi="仿宋_GB2312" w:cs="仿宋_GB2312" w:eastAsia="仿宋_GB2312"/>
                <w:sz w:val="21"/>
              </w:rPr>
              <w:t>1、国家标准及行业标准相关图集；</w:t>
            </w:r>
          </w:p>
          <w:p>
            <w:pPr>
              <w:pStyle w:val="null3"/>
              <w:ind w:firstLine="420"/>
            </w:pPr>
            <w:r>
              <w:rPr>
                <w:rFonts w:ascii="仿宋_GB2312" w:hAnsi="仿宋_GB2312" w:cs="仿宋_GB2312" w:eastAsia="仿宋_GB2312"/>
                <w:sz w:val="21"/>
              </w:rPr>
              <w:t>2、该项目的设计施工图纸；</w:t>
            </w:r>
          </w:p>
          <w:p>
            <w:pPr>
              <w:pStyle w:val="null3"/>
              <w:ind w:firstLine="420"/>
            </w:pPr>
            <w:r>
              <w:rPr>
                <w:rFonts w:ascii="仿宋_GB2312" w:hAnsi="仿宋_GB2312" w:cs="仿宋_GB2312" w:eastAsia="仿宋_GB2312"/>
                <w:sz w:val="21"/>
              </w:rPr>
              <w:t>3、材料价格选用《临潼区工程造价信息》2025年7月及《陕西省工程造价管理信息》2025年7月或现行市场调查价格计算；</w:t>
            </w:r>
          </w:p>
          <w:p>
            <w:pPr>
              <w:pStyle w:val="null3"/>
              <w:ind w:firstLine="420"/>
            </w:pPr>
            <w:r>
              <w:rPr>
                <w:rFonts w:ascii="仿宋_GB2312" w:hAnsi="仿宋_GB2312" w:cs="仿宋_GB2312" w:eastAsia="仿宋_GB2312"/>
                <w:sz w:val="21"/>
              </w:rPr>
              <w:t>4、本工程采用现行：</w:t>
            </w:r>
          </w:p>
          <w:p>
            <w:pPr>
              <w:pStyle w:val="null3"/>
              <w:ind w:firstLine="420"/>
            </w:pPr>
            <w:r>
              <w:rPr>
                <w:rFonts w:ascii="仿宋_GB2312" w:hAnsi="仿宋_GB2312" w:cs="仿宋_GB2312" w:eastAsia="仿宋_GB2312"/>
                <w:sz w:val="21"/>
              </w:rPr>
              <w:t>《陕西省建设工程工程量清单计价计算标准（2025）》；</w:t>
            </w:r>
          </w:p>
          <w:p>
            <w:pPr>
              <w:pStyle w:val="null3"/>
              <w:ind w:firstLine="420"/>
            </w:pPr>
            <w:r>
              <w:rPr>
                <w:rFonts w:ascii="仿宋_GB2312" w:hAnsi="仿宋_GB2312" w:cs="仿宋_GB2312" w:eastAsia="仿宋_GB2312"/>
                <w:sz w:val="21"/>
              </w:rPr>
              <w:t>《陕西省房屋建筑与装饰工程基价表（2025）》；</w:t>
            </w:r>
          </w:p>
          <w:p>
            <w:pPr>
              <w:pStyle w:val="null3"/>
              <w:ind w:firstLine="420"/>
            </w:pPr>
            <w:r>
              <w:rPr>
                <w:rFonts w:ascii="仿宋_GB2312" w:hAnsi="仿宋_GB2312" w:cs="仿宋_GB2312" w:eastAsia="仿宋_GB2312"/>
                <w:sz w:val="21"/>
              </w:rPr>
              <w:t>《陕西省通用安装工程基价表（2025）》；</w:t>
            </w:r>
          </w:p>
          <w:p>
            <w:pPr>
              <w:pStyle w:val="null3"/>
              <w:ind w:firstLine="420"/>
            </w:pPr>
            <w:r>
              <w:rPr>
                <w:rFonts w:ascii="仿宋_GB2312" w:hAnsi="仿宋_GB2312" w:cs="仿宋_GB2312" w:eastAsia="仿宋_GB2312"/>
                <w:sz w:val="21"/>
              </w:rPr>
              <w:t>人工费、各种费率及税金执行《陕西省建设工程费用规则（2025）》各项规定，本工程采用一般计税模式；</w:t>
            </w:r>
          </w:p>
          <w:p>
            <w:pPr>
              <w:pStyle w:val="null3"/>
              <w:ind w:firstLine="420"/>
            </w:pPr>
            <w:r>
              <w:rPr>
                <w:rFonts w:ascii="仿宋_GB2312" w:hAnsi="仿宋_GB2312" w:cs="仿宋_GB2312" w:eastAsia="仿宋_GB2312"/>
                <w:sz w:val="21"/>
              </w:rPr>
              <w:t>（二）其他说明</w:t>
            </w:r>
          </w:p>
          <w:p>
            <w:pPr>
              <w:pStyle w:val="null3"/>
              <w:ind w:firstLine="420"/>
            </w:pPr>
            <w:r>
              <w:rPr>
                <w:rFonts w:ascii="仿宋_GB2312" w:hAnsi="仿宋_GB2312" w:cs="仿宋_GB2312" w:eastAsia="仿宋_GB2312"/>
                <w:sz w:val="21"/>
              </w:rPr>
              <w:t>1、该招标最高限价为含增值税工程造价；</w:t>
            </w:r>
          </w:p>
          <w:p>
            <w:pPr>
              <w:pStyle w:val="null3"/>
              <w:ind w:firstLine="420"/>
            </w:pPr>
            <w:r>
              <w:rPr>
                <w:rFonts w:ascii="仿宋_GB2312" w:hAnsi="仿宋_GB2312" w:cs="仿宋_GB2312" w:eastAsia="仿宋_GB2312"/>
                <w:sz w:val="21"/>
              </w:rPr>
              <w:t>2、编制软件：采用广联达云计价平台 GCCP7.0，内核版本： 7.5000.23.2。</w:t>
            </w:r>
          </w:p>
          <w:p>
            <w:pPr>
              <w:pStyle w:val="null3"/>
              <w:ind w:firstLine="420"/>
            </w:pPr>
            <w:r>
              <w:rPr>
                <w:rFonts w:ascii="仿宋_GB2312" w:hAnsi="仿宋_GB2312" w:cs="仿宋_GB2312" w:eastAsia="仿宋_GB2312"/>
                <w:sz w:val="21"/>
              </w:rPr>
              <w:t>六</w:t>
            </w:r>
            <w:r>
              <w:rPr>
                <w:rFonts w:ascii="仿宋_GB2312" w:hAnsi="仿宋_GB2312" w:cs="仿宋_GB2312" w:eastAsia="仿宋_GB2312"/>
                <w:sz w:val="21"/>
              </w:rPr>
              <w:t>、施工要求</w:t>
            </w:r>
          </w:p>
          <w:p>
            <w:pPr>
              <w:pStyle w:val="null3"/>
              <w:ind w:firstLine="420"/>
            </w:pPr>
            <w:r>
              <w:rPr>
                <w:rFonts w:ascii="仿宋_GB2312" w:hAnsi="仿宋_GB2312" w:cs="仿宋_GB2312" w:eastAsia="仿宋_GB2312"/>
                <w:sz w:val="21"/>
                <w:color w:val="000000"/>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3、成交供应商在成交结果发布后3个工作日内无偿向代理机构提供纸质版响应文件三套，电子U盘二个（U盘内容包括Word版本、与系统上传后导出完全一致的PDF版响应文件）。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施工方案1</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施工方案2</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提供2022年10月1日至截标时间前类似项目业绩（以合同或中标通知书为准，须在磋商响应文件中附以上证明材料的扫描件加盖单位公章，每份合格业绩合同计2分，满分10分。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