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根据磋商方法以及标准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一、施工方案；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二、确保工程质量的技术组织措施；</w:t>
      </w:r>
    </w:p>
    <w:p w14:paraId="689B2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三、确保文明施工的技术组织措施及环境保护措施；</w:t>
      </w:r>
      <w:r>
        <w:rPr>
          <w:color w:val="auto"/>
          <w:sz w:val="24"/>
          <w:szCs w:val="24"/>
          <w:highlight w:val="none"/>
        </w:rPr>
        <w:t xml:space="preserve">   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color w:val="auto"/>
          <w:sz w:val="24"/>
          <w:szCs w:val="24"/>
          <w:highlight w:val="none"/>
        </w:rPr>
        <w:t>、确保安全生产的技术组织措施；</w:t>
      </w:r>
      <w:r>
        <w:rPr>
          <w:color w:val="auto"/>
          <w:sz w:val="24"/>
          <w:szCs w:val="24"/>
          <w:highlight w:val="none"/>
        </w:rPr>
        <w:t xml:space="preserve">              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/>
          <w:color w:val="auto"/>
          <w:sz w:val="24"/>
          <w:szCs w:val="24"/>
          <w:highlight w:val="none"/>
        </w:rPr>
        <w:t>、确保工期的技术组织措施；</w:t>
      </w:r>
      <w:r>
        <w:rPr>
          <w:color w:val="auto"/>
          <w:sz w:val="24"/>
          <w:szCs w:val="24"/>
          <w:highlight w:val="none"/>
        </w:rPr>
        <w:t xml:space="preserve">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六、施工机械及材料投入计划；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七、劳动力安排计划；</w:t>
      </w:r>
    </w:p>
    <w:p w14:paraId="5352B8BF">
      <w:pPr>
        <w:pStyle w:val="7"/>
        <w:ind w:left="0" w:leftChars="0" w:firstLine="0" w:firstLineChars="0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八、项目经理部组织机构；</w:t>
      </w:r>
    </w:p>
    <w:p w14:paraId="0C288A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九、风险预测和防范措施；</w:t>
      </w:r>
    </w:p>
    <w:p w14:paraId="472258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十、供应商</w:t>
      </w:r>
      <w:bookmarkStart w:id="1" w:name="_GoBack"/>
      <w:bookmarkEnd w:id="1"/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1497008C"/>
    <w:rsid w:val="24A566C0"/>
    <w:rsid w:val="2C392D85"/>
    <w:rsid w:val="4BD108F1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3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2025-11-07T06:13:37Z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