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版本号：ZRHZC-【2025】-10820251103001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2025年流浪乞讨人员救助工作社会第三方服务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ZRHZC-【2025】-108</w:t>
      </w:r>
      <w:r>
        <w:br/>
      </w:r>
      <w:r>
        <w:br/>
      </w:r>
      <w:r>
        <w:br/>
      </w:r>
    </w:p>
    <w:p>
      <w:pPr>
        <w:pStyle w:val="null3"/>
        <w:jc w:val="center"/>
        <w:outlineLvl w:val="2"/>
      </w:pPr>
      <w:r>
        <w:rPr>
          <w:rFonts w:ascii="仿宋_GB2312" w:hAnsi="仿宋_GB2312" w:cs="仿宋_GB2312" w:eastAsia="仿宋_GB2312"/>
          <w:sz w:val="28"/>
          <w:b/>
        </w:rPr>
        <w:t>西安市临潼区救助管理站</w:t>
      </w:r>
    </w:p>
    <w:p>
      <w:pPr>
        <w:pStyle w:val="null3"/>
        <w:jc w:val="center"/>
        <w:outlineLvl w:val="2"/>
      </w:pPr>
      <w:r>
        <w:rPr>
          <w:rFonts w:ascii="仿宋_GB2312" w:hAnsi="仿宋_GB2312" w:cs="仿宋_GB2312" w:eastAsia="仿宋_GB2312"/>
          <w:sz w:val="28"/>
          <w:b/>
        </w:rPr>
        <w:t>陕西志睿合建设项目管理有限公司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陕西志睿合建设项目管理有限公司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西安市临潼区救助管理站</w:t>
      </w:r>
      <w:r>
        <w:rPr>
          <w:rFonts w:ascii="仿宋_GB2312" w:hAnsi="仿宋_GB2312" w:cs="仿宋_GB2312" w:eastAsia="仿宋_GB2312"/>
        </w:rPr>
        <w:t>委托，拟对</w:t>
      </w:r>
      <w:r>
        <w:rPr>
          <w:rFonts w:ascii="仿宋_GB2312" w:hAnsi="仿宋_GB2312" w:cs="仿宋_GB2312" w:eastAsia="仿宋_GB2312"/>
        </w:rPr>
        <w:t>2025年流浪乞讨人员救助工作社会第三方服务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ZRHZC-【2025】-108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2025年流浪乞讨人员救助工作社会第三方服务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通过购买流浪乞讨人员救助管理第三方社会服务，将进一步规范和细化救助服务工作，为流浪乞讨人员提供更专业的救助服务，实现救助管理服务水平明显改善和提升。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1、具有独立承担民事责任能力的法人、其他组织或自然人：法人或者其他组织的营业执照等证明文件，自然人的身份证明；</w:t>
      </w:r>
    </w:p>
    <w:p>
      <w:pPr>
        <w:pStyle w:val="null3"/>
      </w:pPr>
      <w:r>
        <w:rPr>
          <w:rFonts w:ascii="仿宋_GB2312" w:hAnsi="仿宋_GB2312" w:cs="仿宋_GB2312" w:eastAsia="仿宋_GB2312"/>
        </w:rPr>
        <w:t>2、法人身份证明或授权委托书：法人代表证明书或法人授权委托书，后附法人及被委托人身份证（法定代表人直接参加磋商的只需提供法定代表人身份证）；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3、财务状况报告：提供2023年度或2024年度经审计的财务审计报告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4、税收和社保证明：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p>
      <w:pPr>
        <w:pStyle w:val="null3"/>
      </w:pPr>
      <w:r>
        <w:rPr>
          <w:rFonts w:ascii="仿宋_GB2312" w:hAnsi="仿宋_GB2312" w:cs="仿宋_GB2312" w:eastAsia="仿宋_GB2312"/>
        </w:rPr>
        <w:t>5、无重大违法记录的书面声明：参加政府采购活动前三年内，在经营活动中没有重大违法记录的书面声明；</w:t>
      </w:r>
    </w:p>
    <w:p>
      <w:pPr>
        <w:pStyle w:val="null3"/>
      </w:pPr>
      <w:r>
        <w:rPr>
          <w:rFonts w:ascii="仿宋_GB2312" w:hAnsi="仿宋_GB2312" w:cs="仿宋_GB2312" w:eastAsia="仿宋_GB2312"/>
        </w:rPr>
        <w:t>6、履行合同书面声明：提供具有履行合同所必须的设备和专业技术能力的书面声明；</w:t>
      </w:r>
    </w:p>
    <w:p>
      <w:pPr>
        <w:pStyle w:val="null3"/>
      </w:pPr>
      <w:r>
        <w:rPr>
          <w:rFonts w:ascii="仿宋_GB2312" w:hAnsi="仿宋_GB2312" w:cs="仿宋_GB2312" w:eastAsia="仿宋_GB2312"/>
        </w:rPr>
        <w:t>7、信誉截图：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投标截止日当天代理机构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西安市临潼区骊山街道北关社区1小巷10号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029-83872351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陕西志睿合建设项目管理有限公司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西安市新城区石家街127号东岸国际7层0704室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黄艳平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13379009956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代理服务费收费标准：代理服务费收费标准：参照国家发改委文件计价格〔2002〕1980号及发改价格〔2011〕534号规定标准收取。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西安市临潼区救助管理站</w:t>
      </w:r>
      <w:r>
        <w:rPr>
          <w:rFonts w:ascii="仿宋_GB2312" w:hAnsi="仿宋_GB2312" w:cs="仿宋_GB2312" w:eastAsia="仿宋_GB2312"/>
        </w:rPr>
        <w:t>和</w:t>
      </w:r>
      <w:r>
        <w:rPr>
          <w:rFonts w:ascii="仿宋_GB2312" w:hAnsi="仿宋_GB2312" w:cs="仿宋_GB2312" w:eastAsia="仿宋_GB2312"/>
        </w:rPr>
        <w:t>陕西志睿合建设项目管理有限公司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陕西志睿合建设项目管理有限公司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陕西志睿合建设项目管理有限公司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联系人：黄艳平</w:t>
      </w:r>
    </w:p>
    <w:p>
      <w:pPr>
        <w:pStyle w:val="null3"/>
      </w:pPr>
      <w:r>
        <w:rPr>
          <w:rFonts w:ascii="仿宋_GB2312" w:hAnsi="仿宋_GB2312" w:cs="仿宋_GB2312" w:eastAsia="仿宋_GB2312"/>
        </w:rPr>
        <w:t>联系电话：13379009956</w:t>
      </w:r>
    </w:p>
    <w:p>
      <w:pPr>
        <w:pStyle w:val="null3"/>
      </w:pPr>
      <w:r>
        <w:rPr>
          <w:rFonts w:ascii="仿宋_GB2312" w:hAnsi="仿宋_GB2312" w:cs="仿宋_GB2312" w:eastAsia="仿宋_GB2312"/>
        </w:rPr>
        <w:t>地址：西安市新城区石家街127号东岸国际7层0704室</w:t>
      </w:r>
    </w:p>
    <w:p>
      <w:pPr>
        <w:pStyle w:val="null3"/>
      </w:pPr>
      <w:r>
        <w:rPr>
          <w:rFonts w:ascii="仿宋_GB2312" w:hAnsi="仿宋_GB2312" w:cs="仿宋_GB2312" w:eastAsia="仿宋_GB2312"/>
        </w:rPr>
        <w:t>邮编：710005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通过购买流浪乞讨人员救助管理第三方社会服务，将进一步规范和细化救助服务工作，为流浪乞讨人员提供更专业的救助服务，实现救助管理服务水平明显改善和提升。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558,000.00</w:t>
      </w:r>
    </w:p>
    <w:p>
      <w:pPr>
        <w:pStyle w:val="null3"/>
      </w:pPr>
      <w:r>
        <w:rPr>
          <w:rFonts w:ascii="仿宋_GB2312" w:hAnsi="仿宋_GB2312" w:cs="仿宋_GB2312" w:eastAsia="仿宋_GB2312"/>
        </w:rPr>
        <w:t>采购包最高限价（元）: 558,000.00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2025年流浪乞讨人员救助工作社会第三方服务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标的名称：2025年流浪乞讨人员救助工作社会第三方服务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技术要求：社会第三方服务公司应根据救助站工作需要对工作人员进行相关政策业务培训，培训原则不得少于</w:t>
                  </w:r>
                  <w:r>
                    <w:rPr>
                      <w:rFonts w:ascii="仿宋_GB2312" w:hAnsi="仿宋_GB2312" w:cs="仿宋_GB2312" w:eastAsia="仿宋_GB2312"/>
                      <w:sz w:val="24"/>
                      <w:color w:val="000000"/>
                    </w:rPr>
                    <w:t>7天，为达到全员培训的目的，根据救助工作实际每分两个班次进行。公司提供政策培训相应的方案、计划、场地、设备及师资力量等。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（一）照料护理服务</w:t>
                  </w:r>
                </w:p>
                <w:p>
                  <w:pPr>
                    <w:pStyle w:val="null3"/>
                    <w:ind w:firstLine="480"/>
                    <w:jc w:val="left"/>
                  </w:pPr>
                  <w:r>
                    <w:rPr>
                      <w:rFonts w:ascii="仿宋_GB2312" w:hAnsi="仿宋_GB2312" w:cs="仿宋_GB2312" w:eastAsia="仿宋_GB2312"/>
                      <w:sz w:val="24"/>
                      <w:color w:val="000000"/>
                    </w:rPr>
                    <w:t>1、人员配置：</w:t>
                  </w:r>
                </w:p>
                <w:tbl>
                  <w:tblPr>
                    <w:tblBorders>
                      <w:top w:val="none" w:color="000000" w:sz="4"/>
                      <w:left w:val="none" w:color="000000" w:sz="4"/>
                      <w:bottom w:val="none" w:color="000000" w:sz="4"/>
                      <w:right w:val="none" w:color="000000" w:sz="4"/>
                      <w:insideH w:val="none"/>
                      <w:insideV w:val="none"/>
                    </w:tblBorders>
                  </w:tblPr>
                  <w:tblGrid>
                    <w:gridCol w:w="210"/>
                    <w:gridCol w:w="784"/>
                    <w:gridCol w:w="392"/>
                    <w:gridCol w:w="364"/>
                    <w:gridCol w:w="588"/>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数量（人）</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年龄要求</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日常生活服务照料护理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男性不超过</w:t>
                        </w:r>
                        <w:r>
                          <w:rPr>
                            <w:rFonts w:ascii="仿宋_GB2312" w:hAnsi="仿宋_GB2312" w:cs="仿宋_GB2312" w:eastAsia="仿宋_GB2312"/>
                            <w:sz w:val="24"/>
                            <w:color w:val="000000"/>
                          </w:rPr>
                          <w:t>60岁，女性不超过55岁</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男、女护工各</w:t>
                        </w:r>
                        <w:r>
                          <w:rPr>
                            <w:rFonts w:ascii="仿宋_GB2312" w:hAnsi="仿宋_GB2312" w:cs="仿宋_GB2312" w:eastAsia="仿宋_GB2312"/>
                            <w:sz w:val="24"/>
                            <w:color w:val="000000"/>
                          </w:rPr>
                          <w:t>1人</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厨房饭菜加工服务</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4"/>
                        <w:vMerge/>
                        <w:tcBorders>
                          <w:top w:val="none" w:color="000000" w:sz="4"/>
                          <w:left w:val="none" w:color="000000" w:sz="4"/>
                          <w:bottom w:val="single" w:color="000000" w:sz="4"/>
                          <w:right w:val="single" w:color="000000" w:sz="4"/>
                        </w:tcBorders>
                      </w:tcPr>
                      <w:p/>
                    </w:tc>
                    <w:tc>
                      <w:tcPr>
                        <w:tcW w:type="dxa" w:w="5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男女不限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服务区域内安保服务</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4"/>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医院照顾护理服务</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4"/>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r>
                </w:tbl>
                <w:p>
                  <w:pPr>
                    <w:pStyle w:val="null3"/>
                    <w:ind w:firstLine="480"/>
                    <w:jc w:val="left"/>
                  </w:pPr>
                  <w:r>
                    <w:rPr>
                      <w:rFonts w:ascii="仿宋_GB2312" w:hAnsi="仿宋_GB2312" w:cs="仿宋_GB2312" w:eastAsia="仿宋_GB2312"/>
                      <w:sz w:val="24"/>
                      <w:color w:val="000000"/>
                    </w:rPr>
                    <w:t>2、服务标准：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1）日常生活服务照料护理</w:t>
                  </w:r>
                </w:p>
                <w:p>
                  <w:pPr>
                    <w:pStyle w:val="null3"/>
                    <w:ind w:firstLine="480"/>
                    <w:jc w:val="left"/>
                  </w:pPr>
                  <w:r>
                    <w:rPr>
                      <w:rFonts w:ascii="仿宋_GB2312" w:hAnsi="仿宋_GB2312" w:cs="仿宋_GB2312" w:eastAsia="仿宋_GB2312"/>
                      <w:sz w:val="24"/>
                      <w:color w:val="000000"/>
                    </w:rPr>
                    <w:t>熟悉救助工作流程，为所有受助人员提供洗头、洗澡、换装、理发等生活照料服务；为需特殊照料受助人员的穿脱衣物、照料处理大小便、喂饭、洗脸刷牙服务，为需特殊照料女性受助人员经期处理；整理受助人员的床铺，保持铺位整洁卫生，保证受助人员的床单被套每周更换一次，对生活失意、心态失衡、行为失常的受助人员，运用专业特长对其加强人文关怀和心理辅导、救助援助，引导其依法理性处理问题，防止发生极端事件。负责受助人员生活区域（宿舍、厕所、楼道、楼梯、活动场所）卫生。按照疫情防控要求，每日对受助人员进行测温登记，对受助对象生活区域进行消毒。配合救助站做好其他临时性服务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2）厨房饭菜加工服务</w:t>
                  </w:r>
                </w:p>
                <w:p>
                  <w:pPr>
                    <w:pStyle w:val="null3"/>
                    <w:ind w:firstLine="480"/>
                    <w:jc w:val="left"/>
                  </w:pPr>
                  <w:r>
                    <w:rPr>
                      <w:rFonts w:ascii="仿宋_GB2312" w:hAnsi="仿宋_GB2312" w:cs="仿宋_GB2312" w:eastAsia="仿宋_GB2312"/>
                      <w:sz w:val="24"/>
                      <w:color w:val="000000"/>
                    </w:rPr>
                    <w:t>负责为站内受助人员提供日常的饭菜加工服务，米、面、油、肉、蛋、蔬菜采购由救助站安排专人负责，炊事员应热爱炊事行业，每日按照要求按量加工饭菜，避免浪费，负责操作间的卫生及饭菜质量。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3）服务区域内安保服务</w:t>
                  </w:r>
                </w:p>
                <w:p>
                  <w:pPr>
                    <w:pStyle w:val="null3"/>
                    <w:ind w:firstLine="480"/>
                    <w:jc w:val="left"/>
                  </w:pPr>
                  <w:r>
                    <w:rPr>
                      <w:rFonts w:ascii="仿宋_GB2312" w:hAnsi="仿宋_GB2312" w:cs="仿宋_GB2312" w:eastAsia="仿宋_GB2312"/>
                      <w:sz w:val="24"/>
                      <w:color w:val="000000"/>
                    </w:rPr>
                    <w:t>熟悉救助工作流程，负责受助人员的安全保卫工作，协助管理人员做好危险物品的检查工作，严禁易燃易爆、管制刀具等危险品进入服务区。配合救助站做好其他临时性服务工作。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4）医院照顾护理服务</w:t>
                  </w:r>
                </w:p>
                <w:p>
                  <w:pPr>
                    <w:pStyle w:val="null3"/>
                    <w:ind w:firstLine="480"/>
                    <w:jc w:val="left"/>
                  </w:pPr>
                  <w:r>
                    <w:rPr>
                      <w:rFonts w:ascii="仿宋_GB2312" w:hAnsi="仿宋_GB2312" w:cs="仿宋_GB2312" w:eastAsia="仿宋_GB2312"/>
                      <w:sz w:val="24"/>
                      <w:color w:val="000000"/>
                    </w:rPr>
                    <w:t>熟悉救助工作流程，为需医疗救治的受助人员提供医院照顾护理服务。配合救助站做好其他临时性服务工作。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（二）主动救助服务</w:t>
                  </w:r>
                </w:p>
                <w:p>
                  <w:pPr>
                    <w:pStyle w:val="null3"/>
                    <w:ind w:firstLine="480"/>
                    <w:jc w:val="left"/>
                  </w:pPr>
                  <w:r>
                    <w:rPr>
                      <w:rFonts w:ascii="仿宋_GB2312" w:hAnsi="仿宋_GB2312" w:cs="仿宋_GB2312" w:eastAsia="仿宋_GB2312"/>
                      <w:sz w:val="24"/>
                      <w:color w:val="000000"/>
                    </w:rPr>
                    <w:t>1、人员配置：</w:t>
                  </w:r>
                </w:p>
                <w:tbl>
                  <w:tblPr>
                    <w:tblBorders>
                      <w:top w:val="none" w:color="000000" w:sz="4"/>
                      <w:left w:val="none" w:color="000000" w:sz="4"/>
                      <w:bottom w:val="none" w:color="000000" w:sz="4"/>
                      <w:right w:val="none" w:color="000000" w:sz="4"/>
                      <w:insideH w:val="none"/>
                      <w:insideV w:val="none"/>
                    </w:tblBorders>
                  </w:tblPr>
                  <w:tblGrid>
                    <w:gridCol w:w="210"/>
                    <w:gridCol w:w="784"/>
                    <w:gridCol w:w="392"/>
                    <w:gridCol w:w="364"/>
                    <w:gridCol w:w="588"/>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数量（人）</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年龄要求</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救助车辆驾驶服务</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年龄不超过</w:t>
                        </w:r>
                        <w:r>
                          <w:rPr>
                            <w:rFonts w:ascii="仿宋_GB2312" w:hAnsi="仿宋_GB2312" w:cs="仿宋_GB2312" w:eastAsia="仿宋_GB2312"/>
                            <w:sz w:val="24"/>
                            <w:color w:val="000000"/>
                          </w:rPr>
                          <w:t>50岁</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男性，有</w:t>
                        </w:r>
                        <w:r>
                          <w:rPr>
                            <w:rFonts w:ascii="仿宋_GB2312" w:hAnsi="仿宋_GB2312" w:cs="仿宋_GB2312" w:eastAsia="仿宋_GB2312"/>
                            <w:sz w:val="24"/>
                            <w:color w:val="000000"/>
                          </w:rPr>
                          <w:t>C1驾照及驾驶经验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街面巡查救助服务</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男性不超过</w:t>
                        </w:r>
                        <w:r>
                          <w:rPr>
                            <w:rFonts w:ascii="仿宋_GB2312" w:hAnsi="仿宋_GB2312" w:cs="仿宋_GB2312" w:eastAsia="仿宋_GB2312"/>
                            <w:sz w:val="24"/>
                            <w:color w:val="000000"/>
                          </w:rPr>
                          <w:t>60岁，女性不超过55岁</w:t>
                        </w:r>
                      </w:p>
                    </w:tc>
                    <w:tc>
                      <w:tcPr>
                        <w:tcW w:type="dxa" w:w="5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男女不限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引导、护送流浪乞讨人员求助服务</w:t>
                        </w:r>
                      </w:p>
                    </w:tc>
                    <w:tc>
                      <w:tcPr>
                        <w:tcW w:type="dxa" w:w="392"/>
                        <w:vMerge/>
                        <w:tcBorders>
                          <w:top w:val="none" w:color="000000" w:sz="4"/>
                          <w:left w:val="non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护送就医服务</w:t>
                        </w:r>
                      </w:p>
                    </w:tc>
                    <w:tc>
                      <w:tcPr>
                        <w:tcW w:type="dxa" w:w="392"/>
                        <w:vMerge/>
                        <w:tcBorders>
                          <w:top w:val="none" w:color="000000" w:sz="4"/>
                          <w:left w:val="non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r>
                </w:tbl>
                <w:p>
                  <w:pPr>
                    <w:pStyle w:val="null3"/>
                    <w:ind w:firstLine="480"/>
                    <w:jc w:val="left"/>
                  </w:pPr>
                  <w:r>
                    <w:rPr>
                      <w:rFonts w:ascii="仿宋_GB2312" w:hAnsi="仿宋_GB2312" w:cs="仿宋_GB2312" w:eastAsia="仿宋_GB2312"/>
                      <w:sz w:val="24"/>
                      <w:color w:val="000000"/>
                    </w:rPr>
                    <w:t>2、服务标准：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1）救助车辆驾驶服务</w:t>
                  </w:r>
                </w:p>
                <w:p>
                  <w:pPr>
                    <w:pStyle w:val="null3"/>
                    <w:ind w:firstLine="480"/>
                    <w:jc w:val="left"/>
                  </w:pPr>
                  <w:r>
                    <w:rPr>
                      <w:rFonts w:ascii="仿宋_GB2312" w:hAnsi="仿宋_GB2312" w:cs="仿宋_GB2312" w:eastAsia="仿宋_GB2312"/>
                      <w:sz w:val="24"/>
                      <w:color w:val="000000"/>
                    </w:rPr>
                    <w:t>熟悉救助工作流程，为受助人员提供车辆保障服务，负责救助车辆的安全驾驶、维护保养、车辆年审等工作，服从安排，积极配合做好街面巡查救助、护送就医、返乡等服务。配合救助站做好其他临时性服务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2）街面巡查救助服务</w:t>
                  </w:r>
                </w:p>
                <w:p>
                  <w:pPr>
                    <w:pStyle w:val="null3"/>
                    <w:ind w:firstLine="480"/>
                    <w:jc w:val="left"/>
                  </w:pPr>
                  <w:r>
                    <w:rPr>
                      <w:rFonts w:ascii="仿宋_GB2312" w:hAnsi="仿宋_GB2312" w:cs="仿宋_GB2312" w:eastAsia="仿宋_GB2312"/>
                      <w:sz w:val="24"/>
                      <w:color w:val="000000"/>
                    </w:rPr>
                    <w:t>熟悉救助工作流程，按照工作安排，负责在夏季、冬季及极端天气时为流浪乞讨人员提供街面救助服务，核实人员基本情况、开展救助服务，发放食品、水、衣服等临时救助物资。临时救助物资由救助站安排专人负责采购及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3）引导、护送流浪乞讨人员求助服务</w:t>
                  </w:r>
                </w:p>
                <w:p>
                  <w:pPr>
                    <w:pStyle w:val="null3"/>
                    <w:ind w:firstLine="480"/>
                    <w:jc w:val="left"/>
                  </w:pPr>
                  <w:r>
                    <w:rPr>
                      <w:rFonts w:ascii="仿宋_GB2312" w:hAnsi="仿宋_GB2312" w:cs="仿宋_GB2312" w:eastAsia="仿宋_GB2312"/>
                      <w:sz w:val="24"/>
                      <w:color w:val="000000"/>
                    </w:rPr>
                    <w:t>熟悉救助工作流程，在街面发现流浪乞讨人员、或接到求助电话时，应查明身份，积极引导、护送流浪乞讨人员到救助站进行救助。配合救助站做好其他临时性服务工作。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4）护送就医服务</w:t>
                  </w:r>
                </w:p>
                <w:p>
                  <w:pPr>
                    <w:pStyle w:val="null3"/>
                    <w:ind w:firstLine="480"/>
                    <w:jc w:val="left"/>
                  </w:pPr>
                  <w:r>
                    <w:rPr>
                      <w:rFonts w:ascii="仿宋_GB2312" w:hAnsi="仿宋_GB2312" w:cs="仿宋_GB2312" w:eastAsia="仿宋_GB2312"/>
                      <w:sz w:val="24"/>
                      <w:color w:val="000000"/>
                    </w:rPr>
                    <w:t>熟悉救助工作流程，在开展街面巡查救助工作中，为需要医疗救治的受助人员提供护送就医服务工作。配合救助站做好其他临时性服务工作。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（三）教育矫治服务</w:t>
                  </w:r>
                </w:p>
                <w:p>
                  <w:pPr>
                    <w:pStyle w:val="null3"/>
                    <w:ind w:firstLine="480"/>
                    <w:jc w:val="left"/>
                  </w:pPr>
                  <w:r>
                    <w:rPr>
                      <w:rFonts w:ascii="仿宋_GB2312" w:hAnsi="仿宋_GB2312" w:cs="仿宋_GB2312" w:eastAsia="仿宋_GB2312"/>
                      <w:sz w:val="24"/>
                      <w:color w:val="000000"/>
                    </w:rPr>
                    <w:t>1、人员配置：1人，限女性，年龄不超过50岁。</w:t>
                  </w:r>
                </w:p>
                <w:p>
                  <w:pPr>
                    <w:pStyle w:val="null3"/>
                    <w:ind w:firstLine="480"/>
                    <w:jc w:val="left"/>
                  </w:pPr>
                  <w:r>
                    <w:rPr>
                      <w:rFonts w:ascii="仿宋_GB2312" w:hAnsi="仿宋_GB2312" w:cs="仿宋_GB2312" w:eastAsia="仿宋_GB2312"/>
                      <w:sz w:val="24"/>
                      <w:color w:val="000000"/>
                    </w:rPr>
                    <w:t>2、服务标准：</w:t>
                  </w:r>
                </w:p>
                <w:p>
                  <w:pPr>
                    <w:pStyle w:val="null3"/>
                    <w:ind w:firstLine="480"/>
                    <w:jc w:val="left"/>
                  </w:pPr>
                  <w:r>
                    <w:rPr>
                      <w:rFonts w:ascii="仿宋_GB2312" w:hAnsi="仿宋_GB2312" w:cs="仿宋_GB2312" w:eastAsia="仿宋_GB2312"/>
                      <w:sz w:val="24"/>
                      <w:color w:val="000000"/>
                    </w:rPr>
                    <w:t>熟悉救助工作流程，为未成年人提供文化法制教育、心理疏导、行为矫治等救助服务。配合救助站做好其他临时性服务工作。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（四）返乡救助服务</w:t>
                  </w:r>
                </w:p>
                <w:p>
                  <w:pPr>
                    <w:pStyle w:val="null3"/>
                    <w:ind w:firstLine="480"/>
                    <w:jc w:val="left"/>
                  </w:pPr>
                  <w:r>
                    <w:rPr>
                      <w:rFonts w:ascii="仿宋_GB2312" w:hAnsi="仿宋_GB2312" w:cs="仿宋_GB2312" w:eastAsia="仿宋_GB2312"/>
                      <w:sz w:val="24"/>
                      <w:color w:val="000000"/>
                    </w:rPr>
                    <w:t>1、人员配置：2人，男女不限，男性年龄不超过60岁，女性年龄不超过55岁。</w:t>
                  </w:r>
                </w:p>
                <w:p>
                  <w:pPr>
                    <w:pStyle w:val="null3"/>
                    <w:ind w:firstLine="480"/>
                    <w:jc w:val="left"/>
                  </w:pPr>
                  <w:r>
                    <w:rPr>
                      <w:rFonts w:ascii="仿宋_GB2312" w:hAnsi="仿宋_GB2312" w:cs="仿宋_GB2312" w:eastAsia="仿宋_GB2312"/>
                      <w:sz w:val="24"/>
                      <w:color w:val="000000"/>
                    </w:rPr>
                    <w:t>2、服务标准：</w:t>
                  </w:r>
                </w:p>
                <w:p>
                  <w:pPr>
                    <w:pStyle w:val="null3"/>
                    <w:jc w:val="left"/>
                  </w:pPr>
                  <w:r>
                    <w:rPr>
                      <w:rFonts w:ascii="仿宋_GB2312" w:hAnsi="仿宋_GB2312" w:cs="仿宋_GB2312" w:eastAsia="仿宋_GB2312"/>
                      <w:sz w:val="24"/>
                      <w:color w:val="000000"/>
                    </w:rPr>
                    <w:t>熟悉救助工作流程，为受助人员提供联系亲属服务，对不善言语、痴、呆、傻、精神异常的受助人员，要通过聊天方式耐心核实信息，并做好登记。对无法核实的受助人员，通过全国救助信息平台、公安人相比对、</w:t>
                  </w:r>
                  <w:r>
                    <w:rPr>
                      <w:rFonts w:ascii="仿宋_GB2312" w:hAnsi="仿宋_GB2312" w:cs="仿宋_GB2312" w:eastAsia="仿宋_GB2312"/>
                      <w:sz w:val="24"/>
                      <w:color w:val="000000"/>
                    </w:rPr>
                    <w:t>DNA、全国救助志愿者群等方式，查询流浪乞讨人员的身份信息，对户籍清晰的受助人员，配合管理人员做好受助人员的护送返乡工作。配合区救助站做好其他临时性服务工作。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经采购人考核，达到服务需求。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第一次支付款项于合同签订后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第二次支付款项于第2次绩效考核结束后，根据第1次和第2次考核结果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供应商应提供的相关资格证明资料.docx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供应商应提供的相关资格证明资料.docx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tc>
        <w:tc>
          <w:tcPr>
            <w:tcW w:type="dxa" w:w="1661"/>
          </w:tcPr>
          <w:p>
            <w:pPr>
              <w:pStyle w:val="null3"/>
            </w:pPr>
            <w:r>
              <w:rPr>
                <w:rFonts w:ascii="仿宋_GB2312" w:hAnsi="仿宋_GB2312" w:cs="仿宋_GB2312" w:eastAsia="仿宋_GB2312"/>
              </w:rPr>
              <w:t>供应商应提供的相关资格证明资料.docx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履行合同书面声明</w:t>
            </w:r>
          </w:p>
        </w:tc>
        <w:tc>
          <w:tcPr>
            <w:tcW w:type="dxa" w:w="3322"/>
          </w:tcPr>
          <w:p>
            <w:pPr>
              <w:pStyle w:val="null3"/>
            </w:pPr>
            <w:r>
              <w:rPr>
                <w:rFonts w:ascii="仿宋_GB2312" w:hAnsi="仿宋_GB2312" w:cs="仿宋_GB2312" w:eastAsia="仿宋_GB2312"/>
              </w:rPr>
              <w:t>提供具有履行合同所必须的设备和专业技术能力的书面声明；</w:t>
            </w:r>
          </w:p>
        </w:tc>
        <w:tc>
          <w:tcPr>
            <w:tcW w:type="dxa" w:w="1661"/>
          </w:tcPr>
          <w:p>
            <w:pPr>
              <w:pStyle w:val="null3"/>
            </w:pPr>
            <w:r>
              <w:rPr>
                <w:rFonts w:ascii="仿宋_GB2312" w:hAnsi="仿宋_GB2312" w:cs="仿宋_GB2312" w:eastAsia="仿宋_GB2312"/>
              </w:rPr>
              <w:t>供应商应提供的相关资格证明资料.docx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投标截止日当天代理机构查询结果为准）。</w:t>
            </w:r>
          </w:p>
        </w:tc>
        <w:tc>
          <w:tcPr>
            <w:tcW w:type="dxa" w:w="1661"/>
          </w:tcPr>
          <w:p>
            <w:pPr>
              <w:pStyle w:val="null3"/>
            </w:pPr>
            <w:r>
              <w:rPr>
                <w:rFonts w:ascii="仿宋_GB2312" w:hAnsi="仿宋_GB2312" w:cs="仿宋_GB2312" w:eastAsia="仿宋_GB2312"/>
              </w:rPr>
              <w:t>供应商应提供的相关资格证明资料.docx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服务内容及服务邀请应答表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供应商对本项目的背景、目标及定位理解清晰，对国家相关领域政策、标准的掌握熟练，对本项目特点、难点、重点技术问题分析和论述明确。根据阐述的内容进行评审： 1、阐述内容合理、针对性强、架构清晰完整，计10分； 2、阐述内容较合理、针对性较强、架构比较清晰完整，计8分； 3、阐述内容基本合理、针对性一般、架构基本清晰，计6分； 4、阐述内容具有合理性但针对性不强、架构不够清晰，计4分； 5、阐述内容不合理，没有针对性，框架逻辑混乱，计1分； 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供应商根据项目的特点编制服务方案：①人员配备方案；②医院护理服务方案；③餐饮服务方案；④培训方案；⑤安全保障方案；⑥医疗或协助医疗方案。 供应商对以上进行描述，依据供应商对相关内容的理解、分析的透彻性进行打分，每项最高得5分，每有1处缺陷扣1分， 满分30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提供完善的管理制度方案，包含但不仅限于项目管理机构及管理制度编制、工作职能组织运行图，主负责人管理职责、内部管理的职责分工、日常管理制度，方案中各项管理制度全面完善，人员管理职责清晰得5分，每有1处缺陷扣1分。 （2）提供完善的台账制度和考核办法、各项资料管理措施等内容，台账制度和考核办法合理完善，各项资料管理措施到位得得5分，每有1处缺陷扣1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服务保障承诺及措施</w:t>
            </w:r>
          </w:p>
        </w:tc>
        <w:tc>
          <w:tcPr>
            <w:tcW w:type="dxa" w:w="2492"/>
          </w:tcPr>
          <w:p>
            <w:pPr>
              <w:pStyle w:val="null3"/>
            </w:pPr>
            <w:r>
              <w:rPr>
                <w:rFonts w:ascii="仿宋_GB2312" w:hAnsi="仿宋_GB2312" w:cs="仿宋_GB2312" w:eastAsia="仿宋_GB2312"/>
              </w:rPr>
              <w:t>供应商需结合项目的实际情况，并根据项目的特点制定各项措施：①优质服务承诺；②进度保证措施； ③项目实施过程中突发事件处理机制及预案；④质量控制制度及保证措施；⑤后续服务及配合措施。 根据供应商提供的以上内容的完整性、合理性进行打分，每项最高得5分，不提供不得分。每有1处缺陷扣1分，满分25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提出有利于项目实施的建议，本项最高计5分，不提供不得分。每有1处缺陷扣1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供应商提供自2022年1月至今类似项目业绩，每提供一份得 2 分，最高得10分；没有提供不得分。 以中标（成交）通知书或有效合同复印件为准。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价格分统一采用低价优先法计算，即满足磋商文件要求且最终投标价格最低的磋商报价为评标基准价，其价格分为满分。其他供应商的价格分统一按照下列公式计算： 磋商报价得分=(评标基准价／最终磋商报价)×10计算分数时四舍五入取小数点后两位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