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477E6C">
      <w:pPr>
        <w:widowControl/>
        <w:kinsoku/>
        <w:overflowPunct w:val="0"/>
        <w:topLinePunct w:val="0"/>
        <w:autoSpaceDE w:val="0"/>
        <w:autoSpaceDN w:val="0"/>
        <w:adjustRightInd w:val="0"/>
        <w:snapToGrid w:val="0"/>
        <w:spacing w:line="360" w:lineRule="auto"/>
        <w:ind w:left="0" w:leftChars="0" w:firstLine="0" w:firstLineChars="0"/>
        <w:jc w:val="left"/>
        <w:textAlignment w:val="baseline"/>
        <w:rPr>
          <w:rFonts w:hint="eastAsia" w:ascii="仿宋_GB2312" w:hAnsi="宋体" w:eastAsia="仿宋_GB2312" w:cs="Arial"/>
          <w:b/>
          <w:bCs/>
          <w:snapToGrid w:val="0"/>
          <w:color w:val="000000"/>
          <w:kern w:val="0"/>
          <w:sz w:val="32"/>
          <w:szCs w:val="32"/>
          <w:lang w:eastAsia="en-US"/>
        </w:rPr>
      </w:pPr>
      <w:r>
        <w:rPr>
          <w:rFonts w:hint="eastAsia" w:ascii="仿宋_GB2312" w:hAnsi="Arial" w:eastAsia="仿宋_GB2312" w:cs="Arial"/>
          <w:b/>
          <w:snapToGrid w:val="0"/>
          <w:color w:val="000000"/>
          <w:kern w:val="0"/>
          <w:sz w:val="32"/>
          <w:szCs w:val="32"/>
          <w:lang w:eastAsia="en-US"/>
        </w:rPr>
        <w:t>（ＧＦ－2012－0202）</w:t>
      </w:r>
    </w:p>
    <w:p w14:paraId="46B96DC9">
      <w:pPr>
        <w:widowControl/>
        <w:kinsoku/>
        <w:overflowPunct w:val="0"/>
        <w:topLinePunct w:val="0"/>
        <w:autoSpaceDE w:val="0"/>
        <w:autoSpaceDN w:val="0"/>
        <w:adjustRightInd w:val="0"/>
        <w:snapToGrid w:val="0"/>
        <w:spacing w:line="360" w:lineRule="auto"/>
        <w:ind w:firstLine="1044" w:firstLineChars="200"/>
        <w:jc w:val="center"/>
        <w:textAlignment w:val="baseline"/>
        <w:rPr>
          <w:rFonts w:hint="eastAsia" w:ascii="仿宋_GB2312" w:hAnsi="宋体" w:eastAsia="仿宋_GB2312" w:cs="Arial"/>
          <w:b/>
          <w:bCs/>
          <w:snapToGrid w:val="0"/>
          <w:color w:val="000000"/>
          <w:kern w:val="0"/>
          <w:sz w:val="52"/>
          <w:szCs w:val="52"/>
          <w:lang w:eastAsia="en-US"/>
        </w:rPr>
      </w:pPr>
    </w:p>
    <w:p w14:paraId="2A359815">
      <w:pPr>
        <w:widowControl/>
        <w:kinsoku/>
        <w:overflowPunct w:val="0"/>
        <w:topLinePunct w:val="0"/>
        <w:autoSpaceDE w:val="0"/>
        <w:autoSpaceDN w:val="0"/>
        <w:adjustRightInd w:val="0"/>
        <w:snapToGrid w:val="0"/>
        <w:spacing w:line="360" w:lineRule="auto"/>
        <w:ind w:firstLine="961" w:firstLineChars="200"/>
        <w:jc w:val="center"/>
        <w:textAlignment w:val="baseline"/>
        <w:rPr>
          <w:rFonts w:hint="eastAsia" w:ascii="华文中宋" w:hAnsi="华文中宋" w:eastAsia="华文中宋" w:cs="Arial"/>
          <w:b/>
          <w:bCs/>
          <w:snapToGrid w:val="0"/>
          <w:color w:val="000000"/>
          <w:kern w:val="0"/>
          <w:sz w:val="48"/>
          <w:szCs w:val="48"/>
          <w:lang w:eastAsia="en-US"/>
        </w:rPr>
      </w:pPr>
    </w:p>
    <w:p w14:paraId="565CBB77">
      <w:pPr>
        <w:widowControl/>
        <w:kinsoku/>
        <w:overflowPunct w:val="0"/>
        <w:topLinePunct w:val="0"/>
        <w:autoSpaceDE w:val="0"/>
        <w:autoSpaceDN w:val="0"/>
        <w:adjustRightInd w:val="0"/>
        <w:snapToGrid w:val="0"/>
        <w:spacing w:line="360" w:lineRule="auto"/>
        <w:ind w:firstLine="961" w:firstLineChars="200"/>
        <w:jc w:val="center"/>
        <w:textAlignment w:val="baseline"/>
        <w:rPr>
          <w:rFonts w:hint="eastAsia" w:ascii="华文中宋" w:hAnsi="华文中宋" w:eastAsia="华文中宋" w:cs="Arial"/>
          <w:b/>
          <w:bCs/>
          <w:snapToGrid w:val="0"/>
          <w:color w:val="000000"/>
          <w:kern w:val="0"/>
          <w:sz w:val="48"/>
          <w:szCs w:val="48"/>
          <w:lang w:eastAsia="en-US"/>
        </w:rPr>
      </w:pPr>
    </w:p>
    <w:p w14:paraId="10D5DFED">
      <w:pPr>
        <w:widowControl/>
        <w:kinsoku/>
        <w:overflowPunct w:val="0"/>
        <w:topLinePunct w:val="0"/>
        <w:autoSpaceDE w:val="0"/>
        <w:autoSpaceDN w:val="0"/>
        <w:adjustRightInd w:val="0"/>
        <w:snapToGrid w:val="0"/>
        <w:spacing w:line="360" w:lineRule="auto"/>
        <w:ind w:firstLine="2603" w:firstLineChars="500"/>
        <w:jc w:val="both"/>
        <w:textAlignment w:val="baseline"/>
        <w:rPr>
          <w:rFonts w:hint="eastAsia" w:ascii="华文中宋" w:hAnsi="华文中宋" w:eastAsia="华文中宋" w:cs="Arial"/>
          <w:b/>
          <w:bCs/>
          <w:snapToGrid w:val="0"/>
          <w:color w:val="000000"/>
          <w:kern w:val="0"/>
          <w:sz w:val="52"/>
          <w:szCs w:val="52"/>
          <w:lang w:eastAsia="en-US"/>
        </w:rPr>
      </w:pPr>
      <w:r>
        <w:rPr>
          <w:rFonts w:hint="eastAsia" w:ascii="华文中宋" w:hAnsi="华文中宋" w:eastAsia="华文中宋" w:cs="Arial"/>
          <w:b/>
          <w:bCs/>
          <w:snapToGrid w:val="0"/>
          <w:color w:val="000000"/>
          <w:kern w:val="0"/>
          <w:sz w:val="52"/>
          <w:szCs w:val="52"/>
          <w:lang w:eastAsia="en-US"/>
        </w:rPr>
        <w:t>建设工程监理合同</w:t>
      </w:r>
    </w:p>
    <w:p w14:paraId="4957D6F6">
      <w:pPr>
        <w:widowControl/>
        <w:kinsoku/>
        <w:overflowPunct w:val="0"/>
        <w:topLinePunct w:val="0"/>
        <w:autoSpaceDE w:val="0"/>
        <w:autoSpaceDN w:val="0"/>
        <w:adjustRightInd w:val="0"/>
        <w:snapToGrid w:val="0"/>
        <w:spacing w:line="360" w:lineRule="auto"/>
        <w:ind w:firstLine="3123" w:firstLineChars="600"/>
        <w:jc w:val="both"/>
        <w:textAlignment w:val="baseline"/>
        <w:rPr>
          <w:rFonts w:hint="eastAsia" w:ascii="华文楷体" w:hAnsi="华文楷体" w:eastAsia="华文楷体" w:cs="Arial"/>
          <w:b/>
          <w:bCs/>
          <w:snapToGrid w:val="0"/>
          <w:color w:val="000000"/>
          <w:kern w:val="0"/>
          <w:sz w:val="52"/>
          <w:szCs w:val="52"/>
          <w:lang w:eastAsia="en-US"/>
        </w:rPr>
      </w:pPr>
      <w:r>
        <w:rPr>
          <w:rFonts w:hint="eastAsia" w:ascii="华文楷体" w:hAnsi="华文楷体" w:eastAsia="华文楷体" w:cs="Arial"/>
          <w:b/>
          <w:bCs/>
          <w:snapToGrid w:val="0"/>
          <w:color w:val="000000"/>
          <w:kern w:val="0"/>
          <w:sz w:val="52"/>
          <w:szCs w:val="52"/>
          <w:lang w:eastAsia="zh-CN"/>
        </w:rPr>
        <w:t>（</w:t>
      </w:r>
      <w:r>
        <w:rPr>
          <w:rFonts w:hint="eastAsia" w:ascii="华文楷体" w:hAnsi="华文楷体" w:eastAsia="华文楷体" w:cs="Arial"/>
          <w:b/>
          <w:bCs/>
          <w:snapToGrid w:val="0"/>
          <w:color w:val="000000"/>
          <w:kern w:val="0"/>
          <w:sz w:val="52"/>
          <w:szCs w:val="52"/>
          <w:lang w:eastAsia="en-US"/>
        </w:rPr>
        <w:t>示范文本</w:t>
      </w:r>
      <w:r>
        <w:rPr>
          <w:rFonts w:hint="eastAsia" w:ascii="华文楷体" w:hAnsi="华文楷体" w:eastAsia="华文楷体" w:cs="Arial"/>
          <w:b/>
          <w:bCs/>
          <w:snapToGrid w:val="0"/>
          <w:color w:val="000000"/>
          <w:kern w:val="0"/>
          <w:sz w:val="52"/>
          <w:szCs w:val="52"/>
          <w:lang w:eastAsia="zh-CN"/>
        </w:rPr>
        <w:t>）</w:t>
      </w:r>
    </w:p>
    <w:p w14:paraId="330998F3">
      <w:pPr>
        <w:widowControl/>
        <w:kinsoku/>
        <w:overflowPunct w:val="0"/>
        <w:topLinePunct w:val="0"/>
        <w:autoSpaceDE w:val="0"/>
        <w:autoSpaceDN w:val="0"/>
        <w:adjustRightInd w:val="0"/>
        <w:snapToGrid w:val="0"/>
        <w:spacing w:line="360" w:lineRule="auto"/>
        <w:ind w:firstLine="960" w:firstLineChars="200"/>
        <w:jc w:val="center"/>
        <w:textAlignment w:val="baseline"/>
        <w:rPr>
          <w:rFonts w:hint="eastAsia" w:ascii="仿宋_GB2312" w:hAnsi="宋体" w:eastAsia="仿宋_GB2312" w:cs="Arial"/>
          <w:bCs/>
          <w:snapToGrid w:val="0"/>
          <w:color w:val="000000"/>
          <w:kern w:val="0"/>
          <w:sz w:val="48"/>
          <w:szCs w:val="48"/>
          <w:lang w:eastAsia="en-US"/>
        </w:rPr>
      </w:pPr>
    </w:p>
    <w:p w14:paraId="11DB43C8">
      <w:pPr>
        <w:widowControl/>
        <w:kinsoku/>
        <w:overflowPunct w:val="0"/>
        <w:topLinePunct w:val="0"/>
        <w:autoSpaceDE w:val="0"/>
        <w:autoSpaceDN w:val="0"/>
        <w:adjustRightInd w:val="0"/>
        <w:snapToGrid w:val="0"/>
        <w:spacing w:line="360" w:lineRule="auto"/>
        <w:ind w:firstLine="482" w:firstLineChars="200"/>
        <w:jc w:val="center"/>
        <w:textAlignment w:val="baseline"/>
        <w:rPr>
          <w:rFonts w:hint="eastAsia" w:ascii="仿宋_GB2312" w:hAnsi="宋体" w:eastAsia="仿宋_GB2312" w:cs="Arial"/>
          <w:b/>
          <w:bCs/>
          <w:snapToGrid w:val="0"/>
          <w:color w:val="000000"/>
          <w:kern w:val="0"/>
          <w:sz w:val="24"/>
          <w:szCs w:val="24"/>
          <w:lang w:eastAsia="en-US"/>
        </w:rPr>
      </w:pPr>
    </w:p>
    <w:p w14:paraId="2B29775F">
      <w:pPr>
        <w:widowControl/>
        <w:kinsoku/>
        <w:overflowPunct w:val="0"/>
        <w:topLinePunct w:val="0"/>
        <w:autoSpaceDE w:val="0"/>
        <w:autoSpaceDN w:val="0"/>
        <w:adjustRightInd w:val="0"/>
        <w:snapToGrid w:val="0"/>
        <w:spacing w:line="360" w:lineRule="auto"/>
        <w:ind w:firstLine="482" w:firstLineChars="200"/>
        <w:jc w:val="center"/>
        <w:textAlignment w:val="baseline"/>
        <w:rPr>
          <w:rFonts w:hint="eastAsia" w:ascii="仿宋_GB2312" w:hAnsi="宋体" w:eastAsia="仿宋_GB2312" w:cs="Arial"/>
          <w:b/>
          <w:bCs/>
          <w:snapToGrid w:val="0"/>
          <w:color w:val="000000"/>
          <w:kern w:val="0"/>
          <w:sz w:val="24"/>
          <w:szCs w:val="24"/>
          <w:lang w:eastAsia="en-US"/>
        </w:rPr>
      </w:pPr>
    </w:p>
    <w:p w14:paraId="7532E980">
      <w:pPr>
        <w:widowControl/>
        <w:kinsoku/>
        <w:overflowPunct w:val="0"/>
        <w:topLinePunct w:val="0"/>
        <w:autoSpaceDE w:val="0"/>
        <w:autoSpaceDN w:val="0"/>
        <w:adjustRightInd w:val="0"/>
        <w:snapToGrid w:val="0"/>
        <w:spacing w:line="360" w:lineRule="auto"/>
        <w:ind w:firstLine="482" w:firstLineChars="200"/>
        <w:jc w:val="center"/>
        <w:textAlignment w:val="baseline"/>
        <w:rPr>
          <w:rFonts w:hint="eastAsia" w:ascii="仿宋_GB2312" w:hAnsi="宋体" w:eastAsia="仿宋_GB2312" w:cs="Arial"/>
          <w:b/>
          <w:bCs/>
          <w:snapToGrid w:val="0"/>
          <w:color w:val="000000"/>
          <w:kern w:val="0"/>
          <w:sz w:val="24"/>
          <w:szCs w:val="24"/>
          <w:lang w:eastAsia="en-US"/>
        </w:rPr>
      </w:pPr>
    </w:p>
    <w:p w14:paraId="1B3D9044">
      <w:pPr>
        <w:widowControl/>
        <w:kinsoku/>
        <w:overflowPunct w:val="0"/>
        <w:topLinePunct w:val="0"/>
        <w:autoSpaceDE w:val="0"/>
        <w:autoSpaceDN w:val="0"/>
        <w:adjustRightInd w:val="0"/>
        <w:snapToGrid w:val="0"/>
        <w:spacing w:line="360" w:lineRule="auto"/>
        <w:ind w:firstLine="482" w:firstLineChars="200"/>
        <w:jc w:val="center"/>
        <w:textAlignment w:val="baseline"/>
        <w:rPr>
          <w:rFonts w:hint="eastAsia" w:ascii="仿宋_GB2312" w:hAnsi="宋体" w:eastAsia="仿宋_GB2312" w:cs="Arial"/>
          <w:b/>
          <w:bCs/>
          <w:snapToGrid w:val="0"/>
          <w:color w:val="000000"/>
          <w:kern w:val="0"/>
          <w:sz w:val="24"/>
          <w:szCs w:val="24"/>
          <w:lang w:eastAsia="en-US"/>
        </w:rPr>
      </w:pPr>
    </w:p>
    <w:p w14:paraId="097B44F9">
      <w:pPr>
        <w:widowControl/>
        <w:kinsoku/>
        <w:overflowPunct w:val="0"/>
        <w:topLinePunct w:val="0"/>
        <w:autoSpaceDE w:val="0"/>
        <w:autoSpaceDN w:val="0"/>
        <w:adjustRightInd w:val="0"/>
        <w:snapToGrid w:val="0"/>
        <w:spacing w:line="360" w:lineRule="auto"/>
        <w:ind w:firstLine="482" w:firstLineChars="200"/>
        <w:jc w:val="center"/>
        <w:textAlignment w:val="baseline"/>
        <w:rPr>
          <w:rFonts w:hint="eastAsia" w:ascii="仿宋_GB2312" w:hAnsi="宋体" w:eastAsia="仿宋_GB2312" w:cs="Arial"/>
          <w:b/>
          <w:bCs/>
          <w:snapToGrid w:val="0"/>
          <w:color w:val="000000"/>
          <w:kern w:val="0"/>
          <w:sz w:val="24"/>
          <w:szCs w:val="24"/>
          <w:lang w:eastAsia="en-US"/>
        </w:rPr>
      </w:pPr>
    </w:p>
    <w:p w14:paraId="75B594A8">
      <w:pPr>
        <w:widowControl/>
        <w:kinsoku/>
        <w:overflowPunct w:val="0"/>
        <w:topLinePunct w:val="0"/>
        <w:autoSpaceDE w:val="0"/>
        <w:autoSpaceDN w:val="0"/>
        <w:adjustRightInd w:val="0"/>
        <w:snapToGrid w:val="0"/>
        <w:spacing w:line="360" w:lineRule="auto"/>
        <w:ind w:left="0" w:leftChars="0" w:firstLine="0" w:firstLineChars="0"/>
        <w:jc w:val="left"/>
        <w:textAlignment w:val="baseline"/>
        <w:rPr>
          <w:rFonts w:hint="eastAsia" w:ascii="仿宋_GB2312" w:hAnsi="宋体" w:eastAsia="仿宋_GB2312" w:cs="Arial"/>
          <w:b/>
          <w:bCs/>
          <w:snapToGrid w:val="0"/>
          <w:color w:val="000000"/>
          <w:kern w:val="0"/>
          <w:sz w:val="24"/>
          <w:szCs w:val="24"/>
          <w:lang w:eastAsia="en-US"/>
        </w:rPr>
      </w:pPr>
    </w:p>
    <w:p w14:paraId="37C91982">
      <w:pPr>
        <w:widowControl/>
        <w:kinsoku/>
        <w:overflowPunct w:val="0"/>
        <w:topLinePunct w:val="0"/>
        <w:autoSpaceDE w:val="0"/>
        <w:autoSpaceDN w:val="0"/>
        <w:adjustRightInd w:val="0"/>
        <w:snapToGrid w:val="0"/>
        <w:spacing w:line="360" w:lineRule="auto"/>
        <w:ind w:firstLine="482" w:firstLineChars="200"/>
        <w:jc w:val="left"/>
        <w:textAlignment w:val="baseline"/>
        <w:rPr>
          <w:rFonts w:hint="eastAsia" w:ascii="仿宋_GB2312" w:hAnsi="宋体" w:eastAsia="仿宋_GB2312" w:cs="Arial"/>
          <w:b/>
          <w:bCs/>
          <w:snapToGrid w:val="0"/>
          <w:color w:val="000000"/>
          <w:kern w:val="0"/>
          <w:sz w:val="24"/>
          <w:szCs w:val="24"/>
          <w:lang w:eastAsia="en-US"/>
        </w:rPr>
      </w:pPr>
    </w:p>
    <w:p w14:paraId="270065F0">
      <w:pPr>
        <w:widowControl/>
        <w:kinsoku/>
        <w:overflowPunct w:val="0"/>
        <w:topLinePunct w:val="0"/>
        <w:autoSpaceDE w:val="0"/>
        <w:autoSpaceDN w:val="0"/>
        <w:adjustRightInd w:val="0"/>
        <w:snapToGrid w:val="0"/>
        <w:spacing w:line="360" w:lineRule="auto"/>
        <w:ind w:left="0" w:leftChars="0" w:firstLine="0" w:firstLineChars="0"/>
        <w:jc w:val="left"/>
        <w:textAlignment w:val="baseline"/>
        <w:rPr>
          <w:rFonts w:hint="eastAsia" w:ascii="仿宋_GB2312" w:hAnsi="宋体" w:eastAsia="仿宋_GB2312" w:cs="Arial"/>
          <w:b/>
          <w:bCs/>
          <w:snapToGrid w:val="0"/>
          <w:color w:val="000000"/>
          <w:kern w:val="0"/>
          <w:sz w:val="24"/>
          <w:szCs w:val="24"/>
          <w:lang w:eastAsia="en-US"/>
        </w:rPr>
      </w:pPr>
    </w:p>
    <w:p w14:paraId="25901B88">
      <w:pPr>
        <w:widowControl/>
        <w:kinsoku/>
        <w:overflowPunct w:val="0"/>
        <w:topLinePunct w:val="0"/>
        <w:autoSpaceDE w:val="0"/>
        <w:autoSpaceDN w:val="0"/>
        <w:adjustRightInd w:val="0"/>
        <w:snapToGrid w:val="0"/>
        <w:spacing w:line="360" w:lineRule="auto"/>
        <w:ind w:firstLine="3524" w:firstLineChars="1100"/>
        <w:jc w:val="both"/>
        <w:textAlignment w:val="baseline"/>
        <w:rPr>
          <w:rFonts w:hint="eastAsia" w:ascii="华文中宋" w:hAnsi="华文中宋" w:eastAsia="华文中宋" w:cs="Arial"/>
          <w:b/>
          <w:snapToGrid w:val="0"/>
          <w:color w:val="000000"/>
          <w:kern w:val="0"/>
          <w:sz w:val="21"/>
          <w:szCs w:val="24"/>
          <w:lang w:eastAsia="en-US"/>
        </w:rPr>
      </w:pPr>
      <w:r>
        <w:rPr>
          <w:rFonts w:hint="eastAsia" w:ascii="华文中宋" w:hAnsi="华文中宋" w:eastAsia="华文中宋" w:cs="Arial"/>
          <w:b/>
          <w:bCs/>
          <w:snapToGrid w:val="0"/>
          <w:color w:val="000000"/>
          <w:kern w:val="0"/>
          <w:sz w:val="32"/>
          <w:szCs w:val="32"/>
          <w:lang w:eastAsia="en-US"/>
        </w:rPr>
        <w:t>住房和城乡建设部</w:t>
      </w:r>
    </w:p>
    <w:p w14:paraId="72E45CE5">
      <w:pPr>
        <w:widowControl/>
        <w:kinsoku/>
        <w:overflowPunct w:val="0"/>
        <w:topLinePunct w:val="0"/>
        <w:autoSpaceDE w:val="0"/>
        <w:autoSpaceDN w:val="0"/>
        <w:adjustRightInd w:val="0"/>
        <w:snapToGrid w:val="0"/>
        <w:spacing w:line="360" w:lineRule="auto"/>
        <w:ind w:firstLine="420" w:firstLineChars="200"/>
        <w:jc w:val="center"/>
        <w:textAlignment w:val="baseline"/>
        <w:rPr>
          <w:rFonts w:hint="eastAsia" w:ascii="华文中宋" w:hAnsi="华文中宋" w:eastAsia="华文中宋" w:cs="Arial"/>
          <w:b/>
          <w:snapToGrid w:val="0"/>
          <w:color w:val="000000"/>
          <w:kern w:val="0"/>
          <w:sz w:val="32"/>
          <w:szCs w:val="32"/>
          <w:lang w:eastAsia="en-US"/>
        </w:rPr>
      </w:pPr>
      <w:r>
        <w:rPr>
          <w:rFonts w:hint="eastAsia" w:ascii="华文中宋" w:hAnsi="华文中宋" w:eastAsia="华文中宋" w:cs="Arial"/>
          <w:b/>
          <w:snapToGrid w:val="0"/>
          <w:color w:val="000000"/>
          <w:kern w:val="0"/>
          <w:sz w:val="21"/>
          <w:szCs w:val="24"/>
          <w:lang w:eastAsia="en-US"/>
        </w:rPr>
        <w:t xml:space="preserve">                                                          </w:t>
      </w:r>
      <w:r>
        <w:rPr>
          <w:rFonts w:hint="eastAsia" w:ascii="华文中宋" w:hAnsi="华文中宋" w:eastAsia="华文中宋" w:cs="Arial"/>
          <w:b/>
          <w:snapToGrid w:val="0"/>
          <w:color w:val="000000"/>
          <w:kern w:val="0"/>
          <w:sz w:val="32"/>
          <w:szCs w:val="32"/>
          <w:lang w:eastAsia="en-US"/>
        </w:rPr>
        <w:t>制定</w:t>
      </w:r>
    </w:p>
    <w:p w14:paraId="6E47112F">
      <w:pPr>
        <w:widowControl/>
        <w:kinsoku/>
        <w:overflowPunct w:val="0"/>
        <w:topLinePunct w:val="0"/>
        <w:autoSpaceDE w:val="0"/>
        <w:autoSpaceDN w:val="0"/>
        <w:adjustRightInd w:val="0"/>
        <w:snapToGrid w:val="0"/>
        <w:spacing w:line="360" w:lineRule="auto"/>
        <w:ind w:firstLine="641" w:firstLineChars="200"/>
        <w:jc w:val="center"/>
        <w:textAlignment w:val="baseline"/>
        <w:rPr>
          <w:rFonts w:hint="eastAsia" w:ascii="华文中宋" w:hAnsi="华文中宋" w:eastAsia="华文中宋" w:cs="Arial"/>
          <w:b/>
          <w:snapToGrid w:val="0"/>
          <w:color w:val="000000"/>
          <w:kern w:val="0"/>
          <w:sz w:val="21"/>
          <w:szCs w:val="24"/>
          <w:lang w:eastAsia="en-US"/>
        </w:rPr>
      </w:pPr>
      <w:r>
        <w:rPr>
          <w:rFonts w:hint="eastAsia" w:ascii="华文中宋" w:hAnsi="华文中宋" w:eastAsia="华文中宋" w:cs="Arial"/>
          <w:b/>
          <w:bCs/>
          <w:snapToGrid w:val="0"/>
          <w:color w:val="000000"/>
          <w:kern w:val="0"/>
          <w:sz w:val="32"/>
          <w:szCs w:val="32"/>
          <w:lang w:eastAsia="en-US"/>
        </w:rPr>
        <w:t>国家工商行政管理总局</w:t>
      </w:r>
    </w:p>
    <w:p w14:paraId="01CC8B96">
      <w:pPr>
        <w:widowControl/>
        <w:kinsoku/>
        <w:overflowPunct w:val="0"/>
        <w:topLinePunct w:val="0"/>
        <w:autoSpaceDE w:val="0"/>
        <w:autoSpaceDN w:val="0"/>
        <w:bidi w:val="0"/>
        <w:adjustRightInd w:val="0"/>
        <w:snapToGrid w:val="0"/>
        <w:spacing w:line="360" w:lineRule="auto"/>
        <w:ind w:firstLine="482" w:firstLineChars="200"/>
        <w:jc w:val="center"/>
        <w:textAlignment w:val="baseline"/>
        <w:rPr>
          <w:rFonts w:hint="eastAsia" w:ascii="Arial" w:hAnsi="Arial" w:eastAsia="宋体" w:cs="Arial"/>
          <w:b/>
          <w:bCs/>
          <w:snapToGrid w:val="0"/>
          <w:color w:val="000000"/>
          <w:kern w:val="0"/>
          <w:sz w:val="24"/>
          <w:szCs w:val="21"/>
          <w:lang w:eastAsia="en-US"/>
        </w:rPr>
      </w:pPr>
    </w:p>
    <w:p w14:paraId="25B405D4">
      <w:pPr>
        <w:widowControl/>
        <w:kinsoku/>
        <w:overflowPunct w:val="0"/>
        <w:topLinePunct w:val="0"/>
        <w:autoSpaceDE w:val="0"/>
        <w:autoSpaceDN w:val="0"/>
        <w:bidi w:val="0"/>
        <w:adjustRightInd w:val="0"/>
        <w:snapToGrid w:val="0"/>
        <w:spacing w:line="360" w:lineRule="auto"/>
        <w:ind w:firstLine="482" w:firstLineChars="200"/>
        <w:jc w:val="center"/>
        <w:textAlignment w:val="baseline"/>
        <w:rPr>
          <w:rFonts w:hint="eastAsia" w:ascii="Arial" w:hAnsi="Arial" w:eastAsia="宋体" w:cs="Arial"/>
          <w:b/>
          <w:bCs/>
          <w:snapToGrid w:val="0"/>
          <w:color w:val="000000"/>
          <w:kern w:val="0"/>
          <w:sz w:val="24"/>
          <w:szCs w:val="21"/>
          <w:lang w:eastAsia="en-US"/>
        </w:rPr>
      </w:pPr>
    </w:p>
    <w:p w14:paraId="4A6324E9">
      <w:pPr>
        <w:widowControl/>
        <w:kinsoku/>
        <w:overflowPunct w:val="0"/>
        <w:topLinePunct w:val="0"/>
        <w:autoSpaceDE w:val="0"/>
        <w:autoSpaceDN w:val="0"/>
        <w:bidi w:val="0"/>
        <w:adjustRightInd w:val="0"/>
        <w:snapToGrid w:val="0"/>
        <w:spacing w:line="360" w:lineRule="auto"/>
        <w:ind w:firstLine="482" w:firstLineChars="200"/>
        <w:jc w:val="center"/>
        <w:textAlignment w:val="baseline"/>
        <w:rPr>
          <w:rFonts w:hint="eastAsia" w:ascii="Arial" w:hAnsi="Arial" w:eastAsia="宋体" w:cs="Arial"/>
          <w:b/>
          <w:bCs/>
          <w:snapToGrid w:val="0"/>
          <w:color w:val="000000"/>
          <w:kern w:val="0"/>
          <w:sz w:val="24"/>
          <w:szCs w:val="21"/>
          <w:lang w:eastAsia="en-US"/>
        </w:rPr>
      </w:pPr>
      <w:r>
        <w:rPr>
          <w:rFonts w:hint="eastAsia" w:ascii="Arial" w:hAnsi="Arial" w:eastAsia="宋体" w:cs="Arial"/>
          <w:b/>
          <w:bCs/>
          <w:snapToGrid w:val="0"/>
          <w:color w:val="000000"/>
          <w:kern w:val="0"/>
          <w:sz w:val="24"/>
          <w:szCs w:val="21"/>
          <w:lang w:eastAsia="en-US"/>
        </w:rPr>
        <w:t>第一部分  协议书</w:t>
      </w:r>
    </w:p>
    <w:p w14:paraId="3985F28D">
      <w:pPr>
        <w:widowControl/>
        <w:kinsoku/>
        <w:overflowPunct w:val="0"/>
        <w:topLinePunct w:val="0"/>
        <w:autoSpaceDE w:val="0"/>
        <w:autoSpaceDN w:val="0"/>
        <w:adjustRightInd w:val="0"/>
        <w:snapToGrid w:val="0"/>
        <w:spacing w:line="360" w:lineRule="auto"/>
        <w:ind w:firstLine="251" w:firstLineChars="250"/>
        <w:jc w:val="left"/>
        <w:textAlignment w:val="baseline"/>
        <w:rPr>
          <w:rFonts w:hint="eastAsia" w:ascii="仿宋_GB2312" w:hAnsi="宋体" w:eastAsia="仿宋_GB2312" w:cs="Arial"/>
          <w:b/>
          <w:snapToGrid w:val="0"/>
          <w:color w:val="000000"/>
          <w:kern w:val="0"/>
          <w:sz w:val="10"/>
          <w:szCs w:val="10"/>
          <w:lang w:eastAsia="en-US"/>
        </w:rPr>
      </w:pPr>
    </w:p>
    <w:p w14:paraId="2EFCA2ED">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snapToGrid w:val="0"/>
          <w:color w:val="000000"/>
          <w:kern w:val="0"/>
          <w:sz w:val="21"/>
          <w:szCs w:val="21"/>
          <w:lang w:eastAsia="en-US"/>
        </w:rPr>
      </w:pPr>
      <w:r>
        <w:rPr>
          <w:rFonts w:hint="eastAsia" w:ascii="宋体" w:hAnsi="宋体" w:eastAsia="宋体" w:cs="宋体"/>
          <w:b/>
          <w:snapToGrid w:val="0"/>
          <w:color w:val="000000"/>
          <w:kern w:val="0"/>
          <w:sz w:val="21"/>
          <w:szCs w:val="21"/>
          <w:lang w:eastAsia="en-US"/>
        </w:rPr>
        <w:t>委托人（全称）：</w:t>
      </w:r>
      <w:r>
        <w:rPr>
          <w:rFonts w:hint="eastAsia" w:ascii="宋体" w:hAnsi="宋体" w:eastAsia="宋体" w:cs="宋体"/>
          <w:b/>
          <w:snapToGrid w:val="0"/>
          <w:color w:val="000000"/>
          <w:kern w:val="0"/>
          <w:sz w:val="21"/>
          <w:szCs w:val="21"/>
          <w:u w:val="single"/>
          <w:lang w:eastAsia="en-US"/>
        </w:rPr>
        <w:t xml:space="preserve">                                      </w:t>
      </w:r>
    </w:p>
    <w:p w14:paraId="79716396">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b/>
          <w:snapToGrid w:val="0"/>
          <w:color w:val="000000"/>
          <w:kern w:val="0"/>
          <w:sz w:val="21"/>
          <w:szCs w:val="21"/>
          <w:lang w:eastAsia="en-US"/>
        </w:rPr>
        <w:t>监理人（全称）：</w:t>
      </w:r>
      <w:r>
        <w:rPr>
          <w:rFonts w:hint="eastAsia" w:ascii="宋体" w:hAnsi="宋体" w:eastAsia="宋体" w:cs="宋体"/>
          <w:b/>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eastAsia="en-US"/>
        </w:rPr>
        <w:t xml:space="preserve">   </w:t>
      </w:r>
    </w:p>
    <w:p w14:paraId="2238BCB6">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u w:val="single"/>
          <w:lang w:eastAsia="en-US"/>
        </w:rPr>
      </w:pPr>
      <w:r>
        <w:rPr>
          <w:rFonts w:hint="eastAsia" w:ascii="宋体" w:hAnsi="宋体" w:eastAsia="宋体" w:cs="宋体"/>
          <w:snapToGrid w:val="0"/>
          <w:color w:val="000000"/>
          <w:kern w:val="0"/>
          <w:sz w:val="21"/>
          <w:szCs w:val="21"/>
          <w:lang w:eastAsia="en-US"/>
        </w:rPr>
        <w:t>根据《中华人民共和</w:t>
      </w:r>
      <w:r>
        <w:rPr>
          <w:rFonts w:hint="eastAsia" w:ascii="宋体" w:hAnsi="宋体" w:eastAsia="宋体" w:cs="宋体"/>
          <w:snapToGrid w:val="0"/>
          <w:color w:val="000000"/>
          <w:kern w:val="0"/>
          <w:sz w:val="21"/>
          <w:szCs w:val="21"/>
          <w:lang w:val="en-US" w:eastAsia="zh-CN"/>
        </w:rPr>
        <w:t>国民法典</w:t>
      </w:r>
      <w:r>
        <w:rPr>
          <w:rFonts w:hint="eastAsia" w:ascii="宋体" w:hAnsi="宋体" w:eastAsia="宋体" w:cs="宋体"/>
          <w:snapToGrid w:val="0"/>
          <w:color w:val="000000"/>
          <w:kern w:val="0"/>
          <w:sz w:val="21"/>
          <w:szCs w:val="21"/>
          <w:lang w:eastAsia="en-US"/>
        </w:rPr>
        <w:t>》、《中华人民共和国建筑法》及其他有关法律、法规，遵循平等、自愿、公平和诚信的原则，双方就下述工程委托监理与相关服务事项协商一致，订立本合同。</w:t>
      </w:r>
    </w:p>
    <w:p w14:paraId="0972F2B5">
      <w:pPr>
        <w:widowControl/>
        <w:kinsoku/>
        <w:overflowPunct w:val="0"/>
        <w:topLinePunct w:val="0"/>
        <w:autoSpaceDE w:val="0"/>
        <w:autoSpaceDN w:val="0"/>
        <w:bidi w:val="0"/>
        <w:adjustRightInd w:val="0"/>
        <w:snapToGrid w:val="0"/>
        <w:spacing w:line="360" w:lineRule="auto"/>
        <w:ind w:firstLine="422" w:firstLineChars="200"/>
        <w:jc w:val="left"/>
        <w:textAlignment w:val="baseline"/>
        <w:rPr>
          <w:rFonts w:hint="eastAsia" w:ascii="宋体" w:hAnsi="宋体" w:eastAsia="宋体" w:cs="宋体"/>
          <w:b/>
          <w:bCs/>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t>一、工程概况</w:t>
      </w:r>
    </w:p>
    <w:p w14:paraId="42D838CD">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 工程名称：</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368AC5E7">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 工程地点：</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7DEEF1AC">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 工程规模：</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29D652D3">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 工程概算投资额或建筑安装工程费：</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633E7F08">
      <w:pPr>
        <w:widowControl/>
        <w:kinsoku/>
        <w:overflowPunct w:val="0"/>
        <w:topLinePunct w:val="0"/>
        <w:autoSpaceDE w:val="0"/>
        <w:autoSpaceDN w:val="0"/>
        <w:bidi w:val="0"/>
        <w:adjustRightInd w:val="0"/>
        <w:snapToGrid w:val="0"/>
        <w:spacing w:line="360" w:lineRule="auto"/>
        <w:ind w:firstLine="422" w:firstLineChars="200"/>
        <w:jc w:val="left"/>
        <w:textAlignment w:val="baseline"/>
        <w:rPr>
          <w:rFonts w:hint="eastAsia" w:ascii="宋体" w:hAnsi="宋体" w:eastAsia="宋体" w:cs="宋体"/>
          <w:b/>
          <w:bCs/>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t>二、词语限定</w:t>
      </w:r>
    </w:p>
    <w:p w14:paraId="0C60B141">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协议书中相关词语的含义与通用条件中的定义与解释相同。</w:t>
      </w:r>
    </w:p>
    <w:p w14:paraId="3B243B94">
      <w:pPr>
        <w:widowControl/>
        <w:kinsoku/>
        <w:overflowPunct w:val="0"/>
        <w:topLinePunct w:val="0"/>
        <w:autoSpaceDE w:val="0"/>
        <w:autoSpaceDN w:val="0"/>
        <w:bidi w:val="0"/>
        <w:adjustRightInd w:val="0"/>
        <w:snapToGrid w:val="0"/>
        <w:spacing w:line="360" w:lineRule="auto"/>
        <w:ind w:firstLine="422" w:firstLineChars="200"/>
        <w:jc w:val="left"/>
        <w:textAlignment w:val="baseline"/>
        <w:rPr>
          <w:rFonts w:hint="eastAsia" w:ascii="宋体" w:hAnsi="宋体" w:eastAsia="宋体" w:cs="宋体"/>
          <w:b/>
          <w:bCs/>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t>三、组成本合同的文件</w:t>
      </w:r>
    </w:p>
    <w:p w14:paraId="5D516700">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 协议书；</w:t>
      </w:r>
    </w:p>
    <w:p w14:paraId="061F394E">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 中标通知书（适用于招标工程）或委托书（适用于非招标工程）；</w:t>
      </w:r>
    </w:p>
    <w:p w14:paraId="4C40760E">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 投标文件（适用于招标工程）或监理与相关服务建议书（适用于非招标工程）；</w:t>
      </w:r>
    </w:p>
    <w:p w14:paraId="2A4E2FCF">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 专用条件；</w:t>
      </w:r>
    </w:p>
    <w:p w14:paraId="33CF50D8">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5. 通用条件；</w:t>
      </w:r>
    </w:p>
    <w:p w14:paraId="5706CFDD">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 附录，即：</w:t>
      </w:r>
    </w:p>
    <w:p w14:paraId="53057693">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附录A  相关服务的范围和内容</w:t>
      </w:r>
    </w:p>
    <w:p w14:paraId="5A051F6D">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附录B  委托人派遣的人员和提供的</w:t>
      </w:r>
      <w:r>
        <w:rPr>
          <w:rFonts w:hint="eastAsia" w:ascii="宋体" w:hAnsi="宋体" w:eastAsia="宋体" w:cs="宋体"/>
          <w:bCs/>
          <w:snapToGrid w:val="0"/>
          <w:color w:val="000000"/>
          <w:kern w:val="0"/>
          <w:sz w:val="21"/>
          <w:szCs w:val="21"/>
          <w:lang w:eastAsia="en-US"/>
        </w:rPr>
        <w:t>房屋、资料</w:t>
      </w:r>
      <w:r>
        <w:rPr>
          <w:rFonts w:hint="eastAsia" w:ascii="宋体" w:hAnsi="宋体" w:eastAsia="宋体" w:cs="宋体"/>
          <w:snapToGrid w:val="0"/>
          <w:color w:val="000000"/>
          <w:kern w:val="0"/>
          <w:sz w:val="21"/>
          <w:szCs w:val="21"/>
          <w:lang w:eastAsia="en-US"/>
        </w:rPr>
        <w:t>、设备</w:t>
      </w:r>
    </w:p>
    <w:p w14:paraId="30FDBCF1">
      <w:pPr>
        <w:widowControl/>
        <w:kinsoku/>
        <w:overflowPunct w:val="0"/>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本合同签订后，双方依法签订的补充协议也是本合同文件的组成部分。</w:t>
      </w:r>
    </w:p>
    <w:p w14:paraId="0644900C">
      <w:pPr>
        <w:widowControl/>
        <w:kinsoku/>
        <w:overflowPunct w:val="0"/>
        <w:topLinePunct w:val="0"/>
        <w:autoSpaceDE w:val="0"/>
        <w:autoSpaceDN w:val="0"/>
        <w:bidi w:val="0"/>
        <w:adjustRightInd w:val="0"/>
        <w:snapToGrid w:val="0"/>
        <w:spacing w:line="360" w:lineRule="auto"/>
        <w:ind w:firstLine="422" w:firstLineChars="200"/>
        <w:jc w:val="left"/>
        <w:textAlignment w:val="baseline"/>
        <w:rPr>
          <w:rFonts w:hint="eastAsia" w:ascii="宋体" w:hAnsi="宋体" w:eastAsia="宋体" w:cs="宋体"/>
          <w:b/>
          <w:bCs/>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t>四、总监理工程师</w:t>
      </w:r>
    </w:p>
    <w:p w14:paraId="3C8B89D5">
      <w:pPr>
        <w:widowControl/>
        <w:kinsoku/>
        <w:overflowPunct w:val="0"/>
        <w:topLinePunct w:val="0"/>
        <w:autoSpaceDE w:val="0"/>
        <w:autoSpaceDN w:val="0"/>
        <w:adjustRightInd w:val="0"/>
        <w:snapToGrid w:val="0"/>
        <w:spacing w:line="24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总监理工程师姓名：</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，身份证号码：</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，注册号：</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1F44C696">
      <w:pPr>
        <w:widowControl/>
        <w:kinsoku/>
        <w:overflowPunct w:val="0"/>
        <w:topLinePunct w:val="0"/>
        <w:autoSpaceDE w:val="0"/>
        <w:autoSpaceDN w:val="0"/>
        <w:bidi w:val="0"/>
        <w:adjustRightInd w:val="0"/>
        <w:snapToGrid w:val="0"/>
        <w:spacing w:line="360" w:lineRule="auto"/>
        <w:ind w:firstLine="422" w:firstLineChars="200"/>
        <w:jc w:val="left"/>
        <w:textAlignment w:val="baseline"/>
        <w:rPr>
          <w:rFonts w:hint="eastAsia" w:ascii="宋体" w:hAnsi="宋体" w:eastAsia="宋体" w:cs="宋体"/>
          <w:b/>
          <w:bCs/>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t>五、签约酬金</w:t>
      </w:r>
    </w:p>
    <w:p w14:paraId="3A9EDC6D">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签约酬金（大写）：</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        ）。</w:t>
      </w:r>
    </w:p>
    <w:p w14:paraId="40E0BCD4">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包括：</w:t>
      </w:r>
    </w:p>
    <w:p w14:paraId="4CC3A870">
      <w:pPr>
        <w:widowControl/>
        <w:kinsoku/>
        <w:overflowPunct w:val="0"/>
        <w:topLinePunct w:val="0"/>
        <w:autoSpaceDE w:val="0"/>
        <w:autoSpaceDN w:val="0"/>
        <w:adjustRightInd w:val="0"/>
        <w:snapToGrid w:val="0"/>
        <w:spacing w:line="360" w:lineRule="auto"/>
        <w:ind w:firstLine="525" w:firstLineChars="25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 监理酬金：</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1402FAEE">
      <w:pPr>
        <w:widowControl/>
        <w:kinsoku/>
        <w:overflowPunct w:val="0"/>
        <w:topLinePunct w:val="0"/>
        <w:autoSpaceDE w:val="0"/>
        <w:autoSpaceDN w:val="0"/>
        <w:adjustRightInd w:val="0"/>
        <w:snapToGrid w:val="0"/>
        <w:spacing w:line="360" w:lineRule="auto"/>
        <w:ind w:firstLine="525" w:firstLineChars="25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 相关服务酬金：</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5E299B6F">
      <w:pPr>
        <w:widowControl/>
        <w:kinsoku/>
        <w:overflowPunct w:val="0"/>
        <w:topLinePunct w:val="0"/>
        <w:autoSpaceDE w:val="0"/>
        <w:autoSpaceDN w:val="0"/>
        <w:adjustRightInd w:val="0"/>
        <w:snapToGrid w:val="0"/>
        <w:spacing w:line="360" w:lineRule="auto"/>
        <w:ind w:firstLine="525" w:firstLineChars="25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其中：</w:t>
      </w:r>
    </w:p>
    <w:p w14:paraId="0BAF5D48">
      <w:pPr>
        <w:widowControl/>
        <w:kinsoku/>
        <w:overflowPunct w:val="0"/>
        <w:topLinePunct w:val="0"/>
        <w:autoSpaceDE w:val="0"/>
        <w:autoSpaceDN w:val="0"/>
        <w:adjustRightInd w:val="0"/>
        <w:snapToGrid w:val="0"/>
        <w:spacing w:line="360" w:lineRule="auto"/>
        <w:ind w:firstLine="840" w:firstLineChars="4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（1）勘察阶段服务酬金：</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1ADFC092">
      <w:pPr>
        <w:widowControl/>
        <w:kinsoku/>
        <w:overflowPunct w:val="0"/>
        <w:topLinePunct w:val="0"/>
        <w:autoSpaceDE w:val="0"/>
        <w:autoSpaceDN w:val="0"/>
        <w:adjustRightInd w:val="0"/>
        <w:snapToGrid w:val="0"/>
        <w:spacing w:line="360" w:lineRule="auto"/>
        <w:ind w:firstLine="840" w:firstLineChars="4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（2）设计阶段服务酬金：</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1949B970">
      <w:pPr>
        <w:widowControl/>
        <w:kinsoku/>
        <w:overflowPunct w:val="0"/>
        <w:topLinePunct w:val="0"/>
        <w:autoSpaceDE w:val="0"/>
        <w:autoSpaceDN w:val="0"/>
        <w:adjustRightInd w:val="0"/>
        <w:snapToGrid w:val="0"/>
        <w:spacing w:line="360" w:lineRule="auto"/>
        <w:ind w:firstLine="840" w:firstLineChars="4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（3）保修阶段服务酬金：</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38311FFF">
      <w:pPr>
        <w:widowControl/>
        <w:kinsoku/>
        <w:overflowPunct w:val="0"/>
        <w:topLinePunct w:val="0"/>
        <w:autoSpaceDE w:val="0"/>
        <w:autoSpaceDN w:val="0"/>
        <w:adjustRightInd w:val="0"/>
        <w:snapToGrid w:val="0"/>
        <w:spacing w:line="360" w:lineRule="auto"/>
        <w:ind w:firstLine="840" w:firstLineChars="4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（4）其他相关服务酬金：</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53D06388">
      <w:pPr>
        <w:widowControl/>
        <w:kinsoku/>
        <w:overflowPunct w:val="0"/>
        <w:topLinePunct w:val="0"/>
        <w:autoSpaceDE w:val="0"/>
        <w:autoSpaceDN w:val="0"/>
        <w:bidi w:val="0"/>
        <w:adjustRightInd w:val="0"/>
        <w:snapToGrid w:val="0"/>
        <w:spacing w:line="360" w:lineRule="auto"/>
        <w:ind w:firstLine="422" w:firstLineChars="200"/>
        <w:jc w:val="left"/>
        <w:textAlignment w:val="baseline"/>
        <w:rPr>
          <w:rFonts w:hint="eastAsia" w:ascii="宋体" w:hAnsi="宋体" w:eastAsia="宋体" w:cs="宋体"/>
          <w:b/>
          <w:bCs/>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t>六、期限</w:t>
      </w:r>
    </w:p>
    <w:p w14:paraId="79C47660">
      <w:pPr>
        <w:widowControl/>
        <w:kinsoku/>
        <w:overflowPunct w:val="0"/>
        <w:topLinePunct w:val="0"/>
        <w:autoSpaceDE w:val="0"/>
        <w:autoSpaceDN w:val="0"/>
        <w:adjustRightInd w:val="0"/>
        <w:snapToGrid w:val="0"/>
        <w:spacing w:line="360" w:lineRule="auto"/>
        <w:ind w:firstLine="525" w:firstLineChars="25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 监理期限：</w:t>
      </w:r>
    </w:p>
    <w:p w14:paraId="76AAE7BB">
      <w:pPr>
        <w:widowControl/>
        <w:kinsoku/>
        <w:overflowPunct w:val="0"/>
        <w:topLinePunct w:val="0"/>
        <w:autoSpaceDE w:val="0"/>
        <w:autoSpaceDN w:val="0"/>
        <w:adjustRightInd w:val="0"/>
        <w:snapToGrid w:val="0"/>
        <w:spacing w:line="360" w:lineRule="auto"/>
        <w:ind w:firstLine="525" w:firstLineChars="25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自</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年</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月</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日始，至</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年</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月</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日止。</w:t>
      </w:r>
    </w:p>
    <w:p w14:paraId="32E3553A">
      <w:pPr>
        <w:widowControl/>
        <w:kinsoku/>
        <w:overflowPunct w:val="0"/>
        <w:topLinePunct w:val="0"/>
        <w:autoSpaceDE w:val="0"/>
        <w:autoSpaceDN w:val="0"/>
        <w:adjustRightInd w:val="0"/>
        <w:snapToGrid w:val="0"/>
        <w:spacing w:line="360" w:lineRule="auto"/>
        <w:ind w:firstLine="525" w:firstLineChars="25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 相关服务期限：</w:t>
      </w:r>
    </w:p>
    <w:p w14:paraId="22E139B0">
      <w:pPr>
        <w:widowControl/>
        <w:kinsoku/>
        <w:overflowPunct w:val="0"/>
        <w:topLinePunct w:val="0"/>
        <w:autoSpaceDE w:val="0"/>
        <w:autoSpaceDN w:val="0"/>
        <w:adjustRightInd w:val="0"/>
        <w:snapToGrid w:val="0"/>
        <w:spacing w:line="360" w:lineRule="auto"/>
        <w:ind w:firstLine="525" w:firstLineChars="25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（1）勘察阶段服务期限自</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年</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月</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日始，至</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年</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月</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日止。</w:t>
      </w:r>
    </w:p>
    <w:p w14:paraId="61EE1D89">
      <w:pPr>
        <w:widowControl/>
        <w:kinsoku/>
        <w:overflowPunct w:val="0"/>
        <w:topLinePunct w:val="0"/>
        <w:autoSpaceDE w:val="0"/>
        <w:autoSpaceDN w:val="0"/>
        <w:adjustRightInd w:val="0"/>
        <w:snapToGrid w:val="0"/>
        <w:spacing w:line="360" w:lineRule="auto"/>
        <w:ind w:firstLine="525" w:firstLineChars="25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（2）设计阶段服务期限自</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年</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月</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日始，至</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年</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月</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日止。</w:t>
      </w:r>
    </w:p>
    <w:p w14:paraId="2955C288">
      <w:pPr>
        <w:widowControl/>
        <w:kinsoku/>
        <w:overflowPunct w:val="0"/>
        <w:topLinePunct w:val="0"/>
        <w:autoSpaceDE w:val="0"/>
        <w:autoSpaceDN w:val="0"/>
        <w:adjustRightInd w:val="0"/>
        <w:snapToGrid w:val="0"/>
        <w:spacing w:line="360" w:lineRule="auto"/>
        <w:ind w:firstLine="525" w:firstLineChars="25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（3）保修阶段服务期限自</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年</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月</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日始，至</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年</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月</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日止。</w:t>
      </w:r>
    </w:p>
    <w:p w14:paraId="45F495D8">
      <w:pPr>
        <w:widowControl/>
        <w:kinsoku/>
        <w:overflowPunct w:val="0"/>
        <w:topLinePunct w:val="0"/>
        <w:autoSpaceDE w:val="0"/>
        <w:autoSpaceDN w:val="0"/>
        <w:adjustRightInd w:val="0"/>
        <w:snapToGrid w:val="0"/>
        <w:spacing w:line="360" w:lineRule="auto"/>
        <w:ind w:firstLine="525" w:firstLineChars="25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（4）其他相关服务期限自</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年</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月</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日始，至</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年</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月</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日止。</w:t>
      </w:r>
    </w:p>
    <w:p w14:paraId="32EBE7FD">
      <w:pPr>
        <w:widowControl/>
        <w:kinsoku/>
        <w:overflowPunct w:val="0"/>
        <w:topLinePunct w:val="0"/>
        <w:autoSpaceDE w:val="0"/>
        <w:autoSpaceDN w:val="0"/>
        <w:bidi w:val="0"/>
        <w:adjustRightInd w:val="0"/>
        <w:snapToGrid w:val="0"/>
        <w:spacing w:line="360" w:lineRule="auto"/>
        <w:ind w:firstLine="422" w:firstLineChars="200"/>
        <w:jc w:val="left"/>
        <w:textAlignment w:val="baseline"/>
        <w:rPr>
          <w:rFonts w:hint="eastAsia" w:ascii="宋体" w:hAnsi="宋体" w:eastAsia="宋体" w:cs="宋体"/>
          <w:b/>
          <w:bCs/>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t>七、双方承诺</w:t>
      </w:r>
    </w:p>
    <w:p w14:paraId="7D3526B1">
      <w:pPr>
        <w:widowControl/>
        <w:kinsoku/>
        <w:overflowPunct w:val="0"/>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 监理人向委托人承诺，按照本合同约定提供监理与相关服务。</w:t>
      </w:r>
    </w:p>
    <w:p w14:paraId="60C45EA6">
      <w:pPr>
        <w:widowControl/>
        <w:kinsoku/>
        <w:overflowPunct w:val="0"/>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 委托人向监理人承诺，按照本合同约定派遣相应的人员，提供房屋、资料、设备，并按本合同约定支付酬金。</w:t>
      </w:r>
    </w:p>
    <w:p w14:paraId="60C37C46">
      <w:pPr>
        <w:widowControl/>
        <w:kinsoku/>
        <w:overflowPunct w:val="0"/>
        <w:topLinePunct w:val="0"/>
        <w:autoSpaceDE w:val="0"/>
        <w:autoSpaceDN w:val="0"/>
        <w:bidi w:val="0"/>
        <w:adjustRightInd w:val="0"/>
        <w:snapToGrid w:val="0"/>
        <w:spacing w:line="360" w:lineRule="auto"/>
        <w:ind w:firstLine="422" w:firstLineChars="200"/>
        <w:jc w:val="left"/>
        <w:textAlignment w:val="baseline"/>
        <w:rPr>
          <w:rFonts w:hint="eastAsia" w:ascii="宋体" w:hAnsi="宋体" w:eastAsia="宋体" w:cs="宋体"/>
          <w:b/>
          <w:bCs/>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t>八、合同订立</w:t>
      </w:r>
    </w:p>
    <w:p w14:paraId="5315CE01">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 订立时间：</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年</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月</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日。</w:t>
      </w:r>
    </w:p>
    <w:p w14:paraId="71E7F384">
      <w:pPr>
        <w:widowControl/>
        <w:kinsoku/>
        <w:overflowPunct w:val="0"/>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 订立地点：</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60A6AD4F">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 本合同一式</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份，具有同等法律效力，双方各执</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份。</w:t>
      </w:r>
    </w:p>
    <w:p w14:paraId="46450DE2">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p>
    <w:p w14:paraId="71E34D64">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p>
    <w:p w14:paraId="20B2C932">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p>
    <w:p w14:paraId="5EB26BEB">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委托人：</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（盖章）</w:t>
      </w:r>
      <w:r>
        <w:rPr>
          <w:rFonts w:hint="eastAsia" w:ascii="宋体" w:hAnsi="宋体" w:eastAsia="宋体" w:cs="宋体"/>
          <w:snapToGrid w:val="0"/>
          <w:color w:val="000000"/>
          <w:kern w:val="0"/>
          <w:sz w:val="21"/>
          <w:szCs w:val="21"/>
          <w:lang w:eastAsia="en-US"/>
        </w:rPr>
        <w:t xml:space="preserve">   </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snapToGrid w:val="0"/>
          <w:color w:val="000000"/>
          <w:kern w:val="0"/>
          <w:sz w:val="21"/>
          <w:szCs w:val="21"/>
          <w:lang w:eastAsia="en-US"/>
        </w:rPr>
        <w:t>监理人：</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（盖章）</w:t>
      </w:r>
    </w:p>
    <w:p w14:paraId="3DE26384">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 xml:space="preserve">住所： </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 xml:space="preserve">  </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snapToGrid w:val="0"/>
          <w:color w:val="000000"/>
          <w:kern w:val="0"/>
          <w:sz w:val="21"/>
          <w:szCs w:val="21"/>
          <w:lang w:eastAsia="en-US"/>
        </w:rPr>
        <w:t xml:space="preserve">住所： </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 xml:space="preserve">         </w:t>
      </w:r>
    </w:p>
    <w:p w14:paraId="6B75D740">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邮政编码：</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 xml:space="preserve"> </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snapToGrid w:val="0"/>
          <w:color w:val="000000"/>
          <w:kern w:val="0"/>
          <w:sz w:val="21"/>
          <w:szCs w:val="21"/>
          <w:lang w:eastAsia="en-US"/>
        </w:rPr>
        <w:t xml:space="preserve">  邮政编码：</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 xml:space="preserve">        </w:t>
      </w:r>
    </w:p>
    <w:p w14:paraId="175E1276">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 xml:space="preserve">法定代表人或其授权   </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snapToGrid w:val="0"/>
          <w:color w:val="000000"/>
          <w:kern w:val="0"/>
          <w:sz w:val="21"/>
          <w:szCs w:val="21"/>
          <w:lang w:eastAsia="en-US"/>
        </w:rPr>
        <w:t xml:space="preserve"> </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snapToGrid w:val="0"/>
          <w:color w:val="000000"/>
          <w:kern w:val="0"/>
          <w:sz w:val="21"/>
          <w:szCs w:val="21"/>
          <w:lang w:eastAsia="en-US"/>
        </w:rPr>
        <w:t xml:space="preserve">   </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snapToGrid w:val="0"/>
          <w:color w:val="000000"/>
          <w:kern w:val="0"/>
          <w:sz w:val="21"/>
          <w:szCs w:val="21"/>
          <w:lang w:eastAsia="en-US"/>
        </w:rPr>
        <w:t>法定代表人或其授权</w:t>
      </w:r>
    </w:p>
    <w:p w14:paraId="601232B4">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的代理人：</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 xml:space="preserve">   （签字）</w:t>
      </w:r>
      <w:r>
        <w:rPr>
          <w:rFonts w:hint="eastAsia" w:ascii="宋体" w:hAnsi="宋体" w:eastAsia="宋体" w:cs="宋体"/>
          <w:snapToGrid w:val="0"/>
          <w:color w:val="000000"/>
          <w:kern w:val="0"/>
          <w:sz w:val="21"/>
          <w:szCs w:val="21"/>
          <w:lang w:eastAsia="en-US"/>
        </w:rPr>
        <w:t xml:space="preserve"> </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snapToGrid w:val="0"/>
          <w:color w:val="000000"/>
          <w:kern w:val="0"/>
          <w:sz w:val="21"/>
          <w:szCs w:val="21"/>
          <w:lang w:eastAsia="en-US"/>
        </w:rPr>
        <w:t>的代理人：</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 xml:space="preserve">    （签字）</w:t>
      </w:r>
    </w:p>
    <w:p w14:paraId="064A0629">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开户银行：</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 xml:space="preserve">  </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snapToGrid w:val="0"/>
          <w:color w:val="000000"/>
          <w:kern w:val="0"/>
          <w:sz w:val="21"/>
          <w:szCs w:val="21"/>
          <w:lang w:eastAsia="en-US"/>
        </w:rPr>
        <w:t xml:space="preserve"> 开户银行：</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 xml:space="preserve">      </w:t>
      </w:r>
    </w:p>
    <w:p w14:paraId="09D61B03">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val="en-US" w:eastAsia="zh-CN"/>
        </w:rPr>
      </w:pPr>
      <w:r>
        <w:rPr>
          <w:rFonts w:hint="eastAsia" w:ascii="宋体" w:hAnsi="宋体" w:eastAsia="宋体" w:cs="宋体"/>
          <w:snapToGrid w:val="0"/>
          <w:color w:val="000000"/>
          <w:kern w:val="0"/>
          <w:sz w:val="21"/>
          <w:szCs w:val="21"/>
          <w:lang w:eastAsia="en-US"/>
        </w:rPr>
        <w:t>账号：</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 xml:space="preserve">   </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snapToGrid w:val="0"/>
          <w:color w:val="000000"/>
          <w:kern w:val="0"/>
          <w:sz w:val="21"/>
          <w:szCs w:val="21"/>
          <w:lang w:eastAsia="en-US"/>
        </w:rPr>
        <w:t>账号：</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p>
    <w:p w14:paraId="2C7F6E2F">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电话：</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 xml:space="preserve">   </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snapToGrid w:val="0"/>
          <w:color w:val="000000"/>
          <w:kern w:val="0"/>
          <w:sz w:val="21"/>
          <w:szCs w:val="21"/>
          <w:lang w:eastAsia="en-US"/>
        </w:rPr>
        <w:t>电话：</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 xml:space="preserve">    </w:t>
      </w:r>
    </w:p>
    <w:p w14:paraId="3C36472F">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传真：</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 xml:space="preserve">  </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snapToGrid w:val="0"/>
          <w:color w:val="000000"/>
          <w:kern w:val="0"/>
          <w:sz w:val="21"/>
          <w:szCs w:val="21"/>
          <w:lang w:eastAsia="en-US"/>
        </w:rPr>
        <w:t xml:space="preserve"> 传真：</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 xml:space="preserve">    </w:t>
      </w:r>
    </w:p>
    <w:p w14:paraId="20D39AD4">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u w:val="single"/>
          <w:lang w:eastAsia="en-US"/>
        </w:rPr>
      </w:pPr>
      <w:r>
        <w:rPr>
          <w:rFonts w:hint="eastAsia" w:ascii="宋体" w:hAnsi="宋体" w:eastAsia="宋体" w:cs="宋体"/>
          <w:snapToGrid w:val="0"/>
          <w:color w:val="000000"/>
          <w:kern w:val="0"/>
          <w:sz w:val="21"/>
          <w:szCs w:val="21"/>
          <w:lang w:eastAsia="en-US"/>
        </w:rPr>
        <w:t>电子邮箱：</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 xml:space="preserve">   </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snapToGrid w:val="0"/>
          <w:color w:val="000000"/>
          <w:kern w:val="0"/>
          <w:sz w:val="21"/>
          <w:szCs w:val="21"/>
          <w:lang w:eastAsia="en-US"/>
        </w:rPr>
        <w:t>电子邮箱：</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 xml:space="preserve">   </w:t>
      </w:r>
    </w:p>
    <w:p w14:paraId="2D6FE6B4">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br w:type="page"/>
      </w:r>
    </w:p>
    <w:p w14:paraId="580A3280">
      <w:pPr>
        <w:widowControl/>
        <w:kinsoku/>
        <w:overflowPunct w:val="0"/>
        <w:topLinePunct w:val="0"/>
        <w:autoSpaceDE w:val="0"/>
        <w:autoSpaceDN w:val="0"/>
        <w:bidi w:val="0"/>
        <w:adjustRightInd w:val="0"/>
        <w:snapToGrid w:val="0"/>
        <w:spacing w:line="360" w:lineRule="auto"/>
        <w:ind w:firstLine="422" w:firstLineChars="200"/>
        <w:jc w:val="center"/>
        <w:textAlignment w:val="baseline"/>
        <w:rPr>
          <w:rFonts w:hint="eastAsia" w:ascii="宋体" w:hAnsi="宋体" w:eastAsia="宋体" w:cs="宋体"/>
          <w:b/>
          <w:bCs/>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t>第二部分  通用条件</w:t>
      </w:r>
    </w:p>
    <w:p w14:paraId="58463297">
      <w:pPr>
        <w:widowControl/>
        <w:kinsoku/>
        <w:overflowPunct w:val="0"/>
        <w:topLinePunct w:val="0"/>
        <w:autoSpaceDE w:val="0"/>
        <w:autoSpaceDN w:val="0"/>
        <w:adjustRightInd w:val="0"/>
        <w:snapToGrid w:val="0"/>
        <w:spacing w:line="360" w:lineRule="auto"/>
        <w:ind w:firstLine="422" w:firstLineChars="200"/>
        <w:jc w:val="center"/>
        <w:textAlignment w:val="baseline"/>
        <w:rPr>
          <w:rFonts w:hint="eastAsia" w:ascii="宋体" w:hAnsi="宋体" w:eastAsia="宋体" w:cs="宋体"/>
          <w:b/>
          <w:snapToGrid w:val="0"/>
          <w:color w:val="000000"/>
          <w:kern w:val="0"/>
          <w:sz w:val="21"/>
          <w:szCs w:val="21"/>
          <w:lang w:eastAsia="en-US"/>
        </w:rPr>
      </w:pPr>
    </w:p>
    <w:p w14:paraId="762EF43C">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snapToGrid w:val="0"/>
          <w:color w:val="000000"/>
          <w:kern w:val="0"/>
          <w:sz w:val="21"/>
          <w:szCs w:val="21"/>
          <w:lang w:eastAsia="en-US"/>
        </w:rPr>
      </w:pPr>
      <w:r>
        <w:rPr>
          <w:rFonts w:hint="eastAsia" w:ascii="宋体" w:hAnsi="宋体" w:eastAsia="宋体" w:cs="宋体"/>
          <w:b/>
          <w:snapToGrid w:val="0"/>
          <w:color w:val="000000"/>
          <w:kern w:val="0"/>
          <w:sz w:val="21"/>
          <w:szCs w:val="21"/>
          <w:lang w:eastAsia="en-US"/>
        </w:rPr>
        <w:t>1. 定义与解释</w:t>
      </w:r>
    </w:p>
    <w:p w14:paraId="5557EA6A">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 xml:space="preserve">1.1 </w:t>
      </w:r>
      <w:r>
        <w:rPr>
          <w:rFonts w:hint="eastAsia" w:ascii="宋体" w:hAnsi="宋体" w:eastAsia="宋体" w:cs="宋体"/>
          <w:bCs/>
          <w:snapToGrid w:val="0"/>
          <w:color w:val="000000"/>
          <w:kern w:val="0"/>
          <w:sz w:val="21"/>
          <w:szCs w:val="21"/>
          <w:lang w:eastAsia="en-US"/>
        </w:rPr>
        <w:t>定义</w:t>
      </w:r>
    </w:p>
    <w:p w14:paraId="4EAA9DAE">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除根据上下文另有其意义外，组成本合同的全部文件中的下列名词和用语应具有本款所赋予的含义：</w:t>
      </w:r>
    </w:p>
    <w:p w14:paraId="6DE5DF12">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1.1.1 “工程”是指按照本合同约定实施监理与相关服务的建设工程。</w:t>
      </w:r>
    </w:p>
    <w:p w14:paraId="4C41F963">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1.1.2 “委托人”是指本合同中委托监理与相关服务的一方，及其合法的继承人或受让人。</w:t>
      </w:r>
    </w:p>
    <w:p w14:paraId="2A3A20C5">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1.1.3 “监理人”是指本合同中提供监理与相关服务的一方，及其合法的继承人。</w:t>
      </w:r>
    </w:p>
    <w:p w14:paraId="2F4C9209">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1.1.4 “承包人”是指在工程范围内与委托人签订勘察、设计、施工等有关合同的当事人，及其合法的继承人。</w:t>
      </w:r>
    </w:p>
    <w:p w14:paraId="7FE44AB6">
      <w:pPr>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val="en-US" w:eastAsia="zh-CN" w:bidi="ar-SA"/>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36C6F7DF">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1.1.6 “相关服务”是指监理人受委托人的委托 ，按照本合同约定，在勘察、设计、保修等阶段提供的服务活动。</w:t>
      </w:r>
    </w:p>
    <w:p w14:paraId="2F5005FC">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1.1.7 “正常工作”指本合同订立时通用条件和专用条件中约定的监理人的工作。</w:t>
      </w:r>
    </w:p>
    <w:p w14:paraId="5B868E03">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1.1.8 “附加工作”是指本合同约定的正常工作以外监理人的工作。</w:t>
      </w:r>
    </w:p>
    <w:p w14:paraId="18ABEB1E">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1.1.9 “项目监理机构”是指监理人派驻工程负责履行本合同的组织机构。</w:t>
      </w:r>
    </w:p>
    <w:p w14:paraId="3FDA9C2A">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1.1.10 “总监理工程师”是指由监理人的法定代表人书面授权，全面负责履行本合同、主持项目监理机构工作的注册监理工程师。</w:t>
      </w:r>
    </w:p>
    <w:p w14:paraId="52E8092F">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1.1.11 “酬金”是指监理人履行本合同义务，委托人按照本合同约定给付监理人的金额。</w:t>
      </w:r>
    </w:p>
    <w:p w14:paraId="5531A5A0">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1.1.12 “正常工作酬金”是指监理人完成正常工作，委托人应给付监理人并在协议书中载明的签约酬金额。</w:t>
      </w:r>
    </w:p>
    <w:p w14:paraId="6CEDBBE1">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1.1.13 “附加工作酬金”是指监理人完成附加工作，委托人应给付监理人的金额。</w:t>
      </w:r>
    </w:p>
    <w:p w14:paraId="02CA5283">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1.1.14 “一方”是指委托人或监理人；“双方”是指委托人和监理人；“第三方”是指除委托人和监理人以外的有关方。</w:t>
      </w:r>
    </w:p>
    <w:p w14:paraId="14BA8AD2">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1.1.15 “书面形式”是指合同书、信件和数据电文（包括电报、电传、传真、电子数据交换和电子邮件）等可以有形地表现所载内容的形式。</w:t>
      </w:r>
    </w:p>
    <w:p w14:paraId="569883D1">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1.1.16 “天”是指第一天零时至第二天零时的时间。</w:t>
      </w:r>
    </w:p>
    <w:p w14:paraId="6025CA8D">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1.1.17“月”是指按公历从一个月中任何一天开始的一个公历月时间。</w:t>
      </w:r>
    </w:p>
    <w:p w14:paraId="4933D1B9">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04FD69EE">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bCs/>
          <w:snapToGrid w:val="0"/>
          <w:color w:val="000000"/>
          <w:kern w:val="0"/>
          <w:sz w:val="21"/>
          <w:szCs w:val="21"/>
          <w:lang w:eastAsia="en-US"/>
        </w:rPr>
        <w:t xml:space="preserve">1.2 </w:t>
      </w:r>
      <w:r>
        <w:rPr>
          <w:rFonts w:hint="eastAsia" w:ascii="宋体" w:hAnsi="宋体" w:eastAsia="宋体" w:cs="宋体"/>
          <w:snapToGrid w:val="0"/>
          <w:color w:val="000000"/>
          <w:kern w:val="0"/>
          <w:sz w:val="21"/>
          <w:szCs w:val="21"/>
          <w:lang w:eastAsia="en-US"/>
        </w:rPr>
        <w:t>解释</w:t>
      </w:r>
    </w:p>
    <w:p w14:paraId="4E5516FA">
      <w:pPr>
        <w:widowControl/>
        <w:tabs>
          <w:tab w:val="left" w:pos="6140"/>
        </w:tabs>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1.2.1本合同使用中文书写、解释和说明。如专用条件约定使用两种及以上语言文字时，应以中文为准。</w:t>
      </w:r>
    </w:p>
    <w:p w14:paraId="69F85C98">
      <w:pPr>
        <w:widowControl/>
        <w:tabs>
          <w:tab w:val="left" w:pos="6140"/>
        </w:tabs>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1.2.2 组成本合同的下列文件彼此应能相互解释、互为说明。除专用条件另有约定外，本合同文件的解释顺序如下：</w:t>
      </w:r>
    </w:p>
    <w:p w14:paraId="25348316">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（1）协议书；</w:t>
      </w:r>
    </w:p>
    <w:p w14:paraId="6ACC03DA">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（2）中标通知书（适用于招标工程）或委托书（适用于非招标工程）；</w:t>
      </w:r>
    </w:p>
    <w:p w14:paraId="72601F45">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（3）专用条件及附录A、附录B；</w:t>
      </w:r>
    </w:p>
    <w:p w14:paraId="12E3E91F">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（4）通用条件；</w:t>
      </w:r>
    </w:p>
    <w:p w14:paraId="5CF00EA3">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（5）投标文件（适用于招标工程）或监理与相关服务建议书（适用于非招标工程）。</w:t>
      </w:r>
    </w:p>
    <w:p w14:paraId="33D677BD">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双方签订的补充协议与其他文件发生矛盾或歧义时，属于同一类内容的文件，应以最新签署的为准。</w:t>
      </w:r>
    </w:p>
    <w:p w14:paraId="76089BCA">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snapToGrid w:val="0"/>
          <w:color w:val="000000"/>
          <w:kern w:val="0"/>
          <w:sz w:val="21"/>
          <w:szCs w:val="21"/>
          <w:lang w:eastAsia="en-US"/>
        </w:rPr>
      </w:pPr>
      <w:r>
        <w:rPr>
          <w:rFonts w:hint="eastAsia" w:ascii="宋体" w:hAnsi="宋体" w:eastAsia="宋体" w:cs="宋体"/>
          <w:b/>
          <w:snapToGrid w:val="0"/>
          <w:color w:val="000000"/>
          <w:kern w:val="0"/>
          <w:sz w:val="21"/>
          <w:szCs w:val="21"/>
          <w:lang w:eastAsia="en-US"/>
        </w:rPr>
        <w:t>2. 监理人的义务</w:t>
      </w:r>
    </w:p>
    <w:p w14:paraId="0FE67E23">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2.1 监理的范围和工作内容</w:t>
      </w:r>
    </w:p>
    <w:p w14:paraId="67E1A4B0">
      <w:pPr>
        <w:widowControl/>
        <w:kinsoku/>
        <w:overflowPunct w:val="0"/>
        <w:topLinePunct w:val="0"/>
        <w:autoSpaceDE w:val="0"/>
        <w:autoSpaceDN w:val="0"/>
        <w:adjustRightInd w:val="0"/>
        <w:snapToGrid w:val="0"/>
        <w:spacing w:line="360" w:lineRule="auto"/>
        <w:ind w:left="420" w:leftChars="200"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2.1.1 监理范围在专用条件中约定。</w:t>
      </w:r>
    </w:p>
    <w:p w14:paraId="6D1B1D25">
      <w:pPr>
        <w:widowControl/>
        <w:kinsoku/>
        <w:overflowPunct w:val="0"/>
        <w:topLinePunct w:val="0"/>
        <w:autoSpaceDE w:val="0"/>
        <w:autoSpaceDN w:val="0"/>
        <w:adjustRightInd w:val="0"/>
        <w:snapToGrid w:val="0"/>
        <w:spacing w:line="360" w:lineRule="auto"/>
        <w:ind w:left="420" w:leftChars="200"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2.1.2 除专用条件另有约定外，监理工作内容包括：</w:t>
      </w:r>
    </w:p>
    <w:p w14:paraId="6296BAA6">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（1）收到工程设计文件后编制监理规划，并在第一次工地会议7天前报委托人。根据有关规定和监理工作需要，编制监理实施细则；</w:t>
      </w:r>
    </w:p>
    <w:p w14:paraId="46EEE8E3">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（2）熟悉工程设计文件，并参加由委托人主持的图纸会审和设计交底会议；</w:t>
      </w:r>
    </w:p>
    <w:p w14:paraId="50A1CFA9">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（3）参加由委托人主持的第一次工地会议；主持监理例会并根据工程需要主持或参加专题会议；</w:t>
      </w:r>
    </w:p>
    <w:p w14:paraId="658ADD04">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（4）审查施工承包人提交的施工组织设计，重点审查其中的质量安全技术措施、专项施工方案与工程建设强制性标准的符合性；</w:t>
      </w:r>
    </w:p>
    <w:p w14:paraId="242FCAAC">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 xml:space="preserve">（5）检查施工承包人工程质量、安全生产管理制度及组织机构和人员资格； </w:t>
      </w:r>
    </w:p>
    <w:p w14:paraId="2503FECC">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（6）检查施工承包人专职安全生产管理人员的配备情况；</w:t>
      </w:r>
    </w:p>
    <w:p w14:paraId="60456473">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（7）审查施工承包人提交的施工进度计划，核查承包人对施工进度计划的调整；</w:t>
      </w:r>
    </w:p>
    <w:p w14:paraId="49991CC6">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（8）检查施工承包人的试验室；</w:t>
      </w:r>
    </w:p>
    <w:p w14:paraId="4616DFCC">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（9）审核施工分包人资质条件；</w:t>
      </w:r>
    </w:p>
    <w:p w14:paraId="0CE8BB86">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（10）查验施工承包人的施工测量放线成果；</w:t>
      </w:r>
    </w:p>
    <w:p w14:paraId="21811CB7">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（11）审查工程开工条件，对条件具备的签发开工令；</w:t>
      </w:r>
    </w:p>
    <w:p w14:paraId="303E0D4A">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（12）审查施工承包人报送的工程材料、构配件、设备质量证明文件的有效性和符合性，并按规定对用于工程的材料采取平行检验或见证取样方式进行抽检；</w:t>
      </w:r>
    </w:p>
    <w:p w14:paraId="5FDB3882">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（13）审核施工承包人提交的工程款支付申请，签发或出具工程款支付证书，并报委托人审核、批准；</w:t>
      </w:r>
    </w:p>
    <w:p w14:paraId="41580DE5">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（14）在巡视、旁站和检验过程中，发现工程质量、施工安全存在事故隐患的，要求施工承包人整改并报委托人；</w:t>
      </w:r>
    </w:p>
    <w:p w14:paraId="3FF7F571">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（15）经委托人同意，签发工程暂停令和复工令；</w:t>
      </w:r>
    </w:p>
    <w:p w14:paraId="2A6E031F">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（16）审查施工承包人提交的采用新材料、新工艺、新技术、新设备的论证材料及相关验收标准；</w:t>
      </w:r>
    </w:p>
    <w:p w14:paraId="7F7344A9">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（17）验收隐蔽工程、分部分项工程；</w:t>
      </w:r>
    </w:p>
    <w:p w14:paraId="5F82676D">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（18）审查施工承包人提交的工程变更申请，协调处理施工进度调整、费用索赔、合同争议等事项；</w:t>
      </w:r>
    </w:p>
    <w:p w14:paraId="3C5931F4">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（19）审查施工承包人提交的竣工验收申请，编写工程质量评估报告；</w:t>
      </w:r>
    </w:p>
    <w:p w14:paraId="6CB19520">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（20）参加工程竣工验收，签署竣工验收意见；</w:t>
      </w:r>
    </w:p>
    <w:p w14:paraId="50A15C1D">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（21）审查施工承包人提交的竣工结算申请并报委托人；</w:t>
      </w:r>
    </w:p>
    <w:p w14:paraId="622D4998">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（22）编制、整理工程监理归档文件并报委托人。</w:t>
      </w:r>
    </w:p>
    <w:p w14:paraId="40504E45">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2.1.3 相关服务的范围和内容在附录A中约定。</w:t>
      </w:r>
    </w:p>
    <w:p w14:paraId="4E60DC5B">
      <w:pPr>
        <w:widowControl/>
        <w:kinsoku/>
        <w:overflowPunct w:val="0"/>
        <w:topLinePunct w:val="0"/>
        <w:autoSpaceDE w:val="0"/>
        <w:autoSpaceDN w:val="0"/>
        <w:adjustRightInd w:val="0"/>
        <w:snapToGrid w:val="0"/>
        <w:spacing w:line="360" w:lineRule="auto"/>
        <w:ind w:firstLine="210" w:firstLineChars="1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2.2</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bCs/>
          <w:snapToGrid w:val="0"/>
          <w:color w:val="000000"/>
          <w:kern w:val="0"/>
          <w:sz w:val="21"/>
          <w:szCs w:val="21"/>
          <w:lang w:eastAsia="en-US"/>
        </w:rPr>
        <w:t>监理与相关服务依据</w:t>
      </w:r>
    </w:p>
    <w:p w14:paraId="0D0E330B">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2.2.1</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snapToGrid w:val="0"/>
          <w:color w:val="000000"/>
          <w:kern w:val="0"/>
          <w:sz w:val="21"/>
          <w:szCs w:val="21"/>
          <w:lang w:eastAsia="en-US"/>
        </w:rPr>
        <w:t>监理依据包括：</w:t>
      </w:r>
    </w:p>
    <w:p w14:paraId="0A4ACF33">
      <w:pPr>
        <w:widowControl/>
        <w:kinsoku/>
        <w:overflowPunct w:val="0"/>
        <w:topLinePunct w:val="0"/>
        <w:autoSpaceDE w:val="0"/>
        <w:autoSpaceDN w:val="0"/>
        <w:adjustRightInd w:val="0"/>
        <w:snapToGrid w:val="0"/>
        <w:spacing w:line="360" w:lineRule="auto"/>
        <w:ind w:firstLine="525" w:firstLineChars="25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（1）适用的法律、行政法规及部门规章；</w:t>
      </w:r>
    </w:p>
    <w:p w14:paraId="0F8892D9">
      <w:pPr>
        <w:widowControl/>
        <w:kinsoku/>
        <w:overflowPunct w:val="0"/>
        <w:topLinePunct w:val="0"/>
        <w:autoSpaceDE w:val="0"/>
        <w:autoSpaceDN w:val="0"/>
        <w:adjustRightInd w:val="0"/>
        <w:snapToGrid w:val="0"/>
        <w:spacing w:line="360" w:lineRule="auto"/>
        <w:ind w:firstLine="525" w:firstLineChars="25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（2）与工程有关的标准；</w:t>
      </w:r>
    </w:p>
    <w:p w14:paraId="6B82FD65">
      <w:pPr>
        <w:widowControl/>
        <w:kinsoku/>
        <w:overflowPunct w:val="0"/>
        <w:topLinePunct w:val="0"/>
        <w:autoSpaceDE w:val="0"/>
        <w:autoSpaceDN w:val="0"/>
        <w:adjustRightInd w:val="0"/>
        <w:snapToGrid w:val="0"/>
        <w:spacing w:line="360" w:lineRule="auto"/>
        <w:ind w:firstLine="525" w:firstLineChars="25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（3）工程设计及有关文件；</w:t>
      </w:r>
    </w:p>
    <w:p w14:paraId="3A590E43">
      <w:pPr>
        <w:widowControl/>
        <w:kinsoku/>
        <w:overflowPunct w:val="0"/>
        <w:topLinePunct w:val="0"/>
        <w:autoSpaceDE w:val="0"/>
        <w:autoSpaceDN w:val="0"/>
        <w:adjustRightInd w:val="0"/>
        <w:snapToGrid w:val="0"/>
        <w:spacing w:line="360" w:lineRule="auto"/>
        <w:ind w:firstLine="525" w:firstLineChars="25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（4）本合同及委托人与第三方签订的与实施工程有关的其他合同。</w:t>
      </w:r>
    </w:p>
    <w:p w14:paraId="3FB8B44A">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bCs/>
          <w:snapToGrid w:val="0"/>
          <w:color w:val="000000"/>
          <w:kern w:val="0"/>
          <w:sz w:val="21"/>
          <w:szCs w:val="21"/>
          <w:lang w:eastAsia="en-US"/>
        </w:rPr>
        <w:t>双方根据工程的行业和地域特点，在专用条件中具体约定监理依据。</w:t>
      </w:r>
    </w:p>
    <w:p w14:paraId="65EB5D17">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2.2.2 相关服务依据在专用条件中约定。</w:t>
      </w:r>
    </w:p>
    <w:p w14:paraId="4CEF9BA2">
      <w:pPr>
        <w:widowControl/>
        <w:kinsoku/>
        <w:overflowPunct w:val="0"/>
        <w:topLinePunct w:val="0"/>
        <w:autoSpaceDE w:val="0"/>
        <w:autoSpaceDN w:val="0"/>
        <w:adjustRightInd w:val="0"/>
        <w:snapToGrid w:val="0"/>
        <w:spacing w:line="360" w:lineRule="auto"/>
        <w:ind w:firstLine="210" w:firstLineChars="1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2.3 项目监理机构和人员</w:t>
      </w:r>
    </w:p>
    <w:p w14:paraId="5AEB1731">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2.3.1 监理人应组建满足工作需要的项目监理机构，配备必要的检测设备。项目监理机构的主要人员应具有相应的资格条件。</w:t>
      </w:r>
    </w:p>
    <w:p w14:paraId="3350B645">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2.3.2</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snapToGrid w:val="0"/>
          <w:color w:val="000000"/>
          <w:kern w:val="0"/>
          <w:sz w:val="21"/>
          <w:szCs w:val="21"/>
          <w:lang w:eastAsia="en-US"/>
        </w:rPr>
        <w:t>本合同履行过程中，总监理工程师及重要岗位监理人员应保持相对稳定，以保证监理工作正常进行。</w:t>
      </w:r>
    </w:p>
    <w:p w14:paraId="7F414D51">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2.3.3</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snapToGrid w:val="0"/>
          <w:color w:val="000000"/>
          <w:kern w:val="0"/>
          <w:sz w:val="21"/>
          <w:szCs w:val="21"/>
          <w:lang w:eastAsia="en-US"/>
        </w:rPr>
        <w:t>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00F69E5A">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2.3.4</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snapToGrid w:val="0"/>
          <w:color w:val="000000"/>
          <w:kern w:val="0"/>
          <w:sz w:val="21"/>
          <w:szCs w:val="21"/>
          <w:lang w:eastAsia="en-US"/>
        </w:rPr>
        <w:t>监理人应及时更换有下列情形之一的监理人员：</w:t>
      </w:r>
    </w:p>
    <w:p w14:paraId="3893C553">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（1）严重过失行为的；</w:t>
      </w:r>
    </w:p>
    <w:p w14:paraId="7468813C">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（2）有违法行为不能履行职责的；</w:t>
      </w:r>
    </w:p>
    <w:p w14:paraId="78E0EEA0">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（3）涉嫌犯罪的；</w:t>
      </w:r>
    </w:p>
    <w:p w14:paraId="53D14F36">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（4）不能胜任岗位职责的；</w:t>
      </w:r>
    </w:p>
    <w:p w14:paraId="10CE71AC">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（5）严重违反职业道德的；</w:t>
      </w:r>
    </w:p>
    <w:p w14:paraId="69DDDCB3">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（6）专用条件约定的其他情形。</w:t>
      </w:r>
    </w:p>
    <w:p w14:paraId="4C6E3658">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2.3.5 委托人可要求监理人更换不能胜任本职工作的项目监理机构人员。</w:t>
      </w:r>
    </w:p>
    <w:p w14:paraId="5F33695C">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2.4 履行职责</w:t>
      </w:r>
    </w:p>
    <w:p w14:paraId="4CBAFF2D">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监理人应遵循职业道德准则和行为规范，严格按照法律法规、工程建设有关标准及本合同履行职责。</w:t>
      </w:r>
    </w:p>
    <w:p w14:paraId="5741BD34">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2.4.1 在监理与相关服务范围内，委托人和承包人提出的意见和要求，监理人应及时提出处置意见。当委托人与承包人之间发生合同争议时，监理人应协助委托人、承包人协商解决。</w:t>
      </w:r>
    </w:p>
    <w:p w14:paraId="745F84EF">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2.4.2 当委托人与承包人之间的合同争议提交仲裁机构仲裁或人民法院审理时，监理人应提供必要的证明资料。</w:t>
      </w:r>
    </w:p>
    <w:p w14:paraId="748390E5">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2.4.3 监理人应在专用条件约定的授权范围内，处理委托人与承包人所签订合同的变更事宜。如果变更超过授权范围，应以书面形式报委托人批准。</w:t>
      </w:r>
    </w:p>
    <w:p w14:paraId="64599CAD">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在紧急情况下，为了保护财产和人身安全，监理人所发出的指令未能事先报委托人批准时，应在发出指令后的24小时内以书面形式报委托人。</w:t>
      </w:r>
    </w:p>
    <w:p w14:paraId="3A3F0695">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2.4.4 除专用条件另有约定外，监理人发现承包人的人员不能胜任本职工作的，有权要求承包人予以调换。</w:t>
      </w:r>
    </w:p>
    <w:p w14:paraId="44E73EDA">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2.5 提交报告</w:t>
      </w:r>
    </w:p>
    <w:p w14:paraId="1EB4F875">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监理人应按专用条件约定的种类、时间和份数向委托人提交监理与相关服务的报告。</w:t>
      </w:r>
    </w:p>
    <w:p w14:paraId="4854524D">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2.6 文件资料</w:t>
      </w:r>
    </w:p>
    <w:p w14:paraId="712717AF">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在本合同履行期内，监理人应在现场保留工作所用的图纸、报告及记录监理工作的相关文件。工程竣工后，应当按照档案管理规定将监理有关文件归档。</w:t>
      </w:r>
    </w:p>
    <w:p w14:paraId="22D9A16A">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2.7 使用委托人的财产</w:t>
      </w:r>
    </w:p>
    <w:p w14:paraId="424CA836">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3A6D9DC6">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snapToGrid w:val="0"/>
          <w:color w:val="000000"/>
          <w:kern w:val="0"/>
          <w:sz w:val="21"/>
          <w:szCs w:val="21"/>
          <w:lang w:eastAsia="en-US"/>
        </w:rPr>
      </w:pPr>
      <w:r>
        <w:rPr>
          <w:rFonts w:hint="eastAsia" w:ascii="宋体" w:hAnsi="宋体" w:eastAsia="宋体" w:cs="宋体"/>
          <w:b/>
          <w:snapToGrid w:val="0"/>
          <w:color w:val="000000"/>
          <w:kern w:val="0"/>
          <w:sz w:val="21"/>
          <w:szCs w:val="21"/>
          <w:lang w:eastAsia="en-US"/>
        </w:rPr>
        <w:t>3．委托人的义务</w:t>
      </w:r>
    </w:p>
    <w:p w14:paraId="3C639735">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3.1 告知</w:t>
      </w:r>
    </w:p>
    <w:p w14:paraId="674F4D66">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委托人应在委托人与承包人签订的合同中明确监理人、总监理工程师和授予项目监理机构的权限。如有变更，应及时通知承包人。</w:t>
      </w:r>
    </w:p>
    <w:p w14:paraId="3D0788C8">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3.2 提供资料</w:t>
      </w:r>
    </w:p>
    <w:p w14:paraId="4E5F3038">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委托人应按照附录B约定，无偿向监理人提供工程有关的资料。在本合同履行过程中，委托人应及时向监理人提供最新的与工程有关的资料。</w:t>
      </w:r>
    </w:p>
    <w:p w14:paraId="581C3702">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3.3 提供工作条件</w:t>
      </w:r>
    </w:p>
    <w:p w14:paraId="70058768">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委托人应为监理人完成监理与相关服务提供必要的条件。</w:t>
      </w:r>
    </w:p>
    <w:p w14:paraId="09F09049">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3.3.1 委托人应按照附录B约定，派遣相应的人员，提供房屋、设备，供监理人无偿使用。</w:t>
      </w:r>
    </w:p>
    <w:p w14:paraId="19F9FE20">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3.3.2 委托人应负责协调工程建设中所有外部关系，为监理人履行本合同提供必要的外部条件。</w:t>
      </w:r>
    </w:p>
    <w:p w14:paraId="08EEAC15">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3.4 委托人代表</w:t>
      </w:r>
    </w:p>
    <w:p w14:paraId="5F6C8F09">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委托人应授权一名熟悉工程情况的代表，负责与监理人联系。委托人应在双方签订本合同后7天内，将委托人代表的姓名和职责书面告知监理人。当委托人更换委托人代表时，应提前7天通知监理人。</w:t>
      </w:r>
    </w:p>
    <w:p w14:paraId="2D224FAE">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3.5 委托人意见或要求</w:t>
      </w:r>
    </w:p>
    <w:p w14:paraId="35E6E477">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在本合同约定的监理与相关服务工作范围内，委托人对承包人的任何意见或要求应通知监理人，由监理人向承包人发出相应指令。</w:t>
      </w:r>
    </w:p>
    <w:p w14:paraId="00097584">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3.6 答复</w:t>
      </w:r>
    </w:p>
    <w:p w14:paraId="0F223B79">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委托人应在专用条件约定的时间内，对监理人以书面形式提交并要求作出决定的事宜，给予书面答复。逾期未答复的，视为委托人认可。</w:t>
      </w:r>
    </w:p>
    <w:p w14:paraId="61AA8062">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3.7 支付</w:t>
      </w:r>
    </w:p>
    <w:p w14:paraId="53396A96">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委托人应按本合同约定，向监理人支付酬金。</w:t>
      </w:r>
    </w:p>
    <w:p w14:paraId="2DBF71FC">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bCs/>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t>4. 违约责任</w:t>
      </w:r>
    </w:p>
    <w:p w14:paraId="38B61D4F">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4.1 监理人的违约责任</w:t>
      </w:r>
    </w:p>
    <w:p w14:paraId="3E3399E1">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监理人未履行本合同义务的，应承担相应的责任。</w:t>
      </w:r>
    </w:p>
    <w:p w14:paraId="0D3A3308">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4.1.1 因监理人违反本合同约定给委托人造成损失的，监理人应当赔偿委托人损失。赔偿金额的确定方法在专用条件中约定。监理人承担部分赔偿责任的，其承担赔偿金额由双方协商确定。</w:t>
      </w:r>
    </w:p>
    <w:p w14:paraId="2C9DC519">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4.1.2 监理人向委托人的索赔不成立时，监理人应赔偿委托人由此发生的费用。</w:t>
      </w:r>
    </w:p>
    <w:p w14:paraId="78F9FB2A">
      <w:pPr>
        <w:widowControl/>
        <w:kinsoku/>
        <w:overflowPunct w:val="0"/>
        <w:topLinePunct w:val="0"/>
        <w:autoSpaceDE w:val="0"/>
        <w:autoSpaceDN w:val="0"/>
        <w:adjustRightInd w:val="0"/>
        <w:snapToGrid w:val="0"/>
        <w:spacing w:line="360" w:lineRule="auto"/>
        <w:ind w:firstLine="210" w:firstLineChars="1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4.2 委托人的违约责任</w:t>
      </w:r>
    </w:p>
    <w:p w14:paraId="07B8CFFA">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委托人未履行本合同义务的，应承担相应的责任。</w:t>
      </w:r>
    </w:p>
    <w:p w14:paraId="02DCE458">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4.2.1 委托人违反本合同约定造成监理人损失的，委托人应予以赔偿。</w:t>
      </w:r>
    </w:p>
    <w:p w14:paraId="09E7A4B8">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4.2.2 委托人向监理人的索赔不成立时，应赔偿监理人由此引起的费用。</w:t>
      </w:r>
    </w:p>
    <w:p w14:paraId="08ECBC3F">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4.2.3 委托人未能按期支付酬金超过28天，应按专用条件约定支付逾期付款利息。</w:t>
      </w:r>
    </w:p>
    <w:p w14:paraId="586D7BB7">
      <w:pPr>
        <w:widowControl/>
        <w:kinsoku/>
        <w:overflowPunct w:val="0"/>
        <w:topLinePunct w:val="0"/>
        <w:autoSpaceDE w:val="0"/>
        <w:autoSpaceDN w:val="0"/>
        <w:adjustRightInd w:val="0"/>
        <w:snapToGrid w:val="0"/>
        <w:spacing w:line="360" w:lineRule="auto"/>
        <w:ind w:firstLine="210" w:firstLineChars="1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4.3 除外责任</w:t>
      </w:r>
    </w:p>
    <w:p w14:paraId="1C41FC76">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因非监理人的原因，且监理人无过错，发生工程质量事故、安全事故、工期延误等造成的损失，监理人不承担赔偿责任。</w:t>
      </w:r>
    </w:p>
    <w:p w14:paraId="2AB7F14D">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因不可抗力导致本合同全部或部分不能履行时，双方各自承担其因此而造成的损失、损害。</w:t>
      </w:r>
    </w:p>
    <w:p w14:paraId="50A8AC92">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bCs/>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t>5. 支付</w:t>
      </w:r>
    </w:p>
    <w:p w14:paraId="6610E3C3">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 xml:space="preserve">5.1 </w:t>
      </w:r>
      <w:r>
        <w:rPr>
          <w:rFonts w:hint="eastAsia" w:ascii="宋体" w:hAnsi="宋体" w:eastAsia="宋体" w:cs="宋体"/>
          <w:bCs/>
          <w:snapToGrid w:val="0"/>
          <w:color w:val="000000"/>
          <w:kern w:val="0"/>
          <w:sz w:val="21"/>
          <w:szCs w:val="21"/>
          <w:lang w:eastAsia="en-US"/>
        </w:rPr>
        <w:t>支付货币</w:t>
      </w:r>
    </w:p>
    <w:p w14:paraId="09134A9F">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除专用条件另有约定外，酬金均以人民币支付。涉及外币支付的，所采用的货币种类、比例和汇率在专用条件中约定。</w:t>
      </w:r>
    </w:p>
    <w:p w14:paraId="6827D51D">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5.2 支付申请</w:t>
      </w:r>
    </w:p>
    <w:p w14:paraId="21B6A359">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监理人应在本合同约定的每次应付款时间的7天前，向委托人提交支付申请书。支付申请书应当说明当期应付款总额，并列出当期应支付的款项及其金额。</w:t>
      </w:r>
    </w:p>
    <w:p w14:paraId="67D64AED">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5.3 支付酬金</w:t>
      </w:r>
    </w:p>
    <w:p w14:paraId="08126E6D">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支付的酬金包括正常工作酬金、附加工作酬金、合理化建议奖励金额及费用。</w:t>
      </w:r>
    </w:p>
    <w:p w14:paraId="64C2DC51">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 xml:space="preserve">5.4 </w:t>
      </w:r>
      <w:r>
        <w:rPr>
          <w:rFonts w:hint="eastAsia" w:ascii="宋体" w:hAnsi="宋体" w:eastAsia="宋体" w:cs="宋体"/>
          <w:bCs/>
          <w:snapToGrid w:val="0"/>
          <w:color w:val="000000"/>
          <w:kern w:val="0"/>
          <w:sz w:val="21"/>
          <w:szCs w:val="21"/>
          <w:lang w:eastAsia="en-US"/>
        </w:rPr>
        <w:t>有争议部分的付款</w:t>
      </w:r>
    </w:p>
    <w:p w14:paraId="682D54F1">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委托人对监理人提交的支付申请书有异议时，应当在收到监理人提交的支付申请书后7天内，以书面形式向监理人发出异议通知。无异议部分的款项应按期支付，有异议部分的款项按第7条约定办理。</w:t>
      </w:r>
    </w:p>
    <w:p w14:paraId="2E8934CD">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bCs/>
          <w:snapToGrid w:val="0"/>
          <w:color w:val="FF0000"/>
          <w:kern w:val="0"/>
          <w:sz w:val="21"/>
          <w:szCs w:val="21"/>
          <w:lang w:eastAsia="en-US"/>
        </w:rPr>
      </w:pPr>
      <w:r>
        <w:rPr>
          <w:rFonts w:hint="eastAsia" w:ascii="宋体" w:hAnsi="宋体" w:eastAsia="宋体" w:cs="宋体"/>
          <w:b/>
          <w:bCs/>
          <w:snapToGrid w:val="0"/>
          <w:color w:val="000000"/>
          <w:kern w:val="0"/>
          <w:sz w:val="21"/>
          <w:szCs w:val="21"/>
          <w:lang w:eastAsia="en-US"/>
        </w:rPr>
        <w:t>6. 合同生效、变更、暂停、解除与终止</w:t>
      </w:r>
    </w:p>
    <w:p w14:paraId="1034EFED">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6.1生效</w:t>
      </w:r>
    </w:p>
    <w:p w14:paraId="1B0CB631">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除法律另有规定或者专用条件另有约定外，委托人和监理人的法定代表人或其授权代理人在协议书上签字并盖单位章后本合同生效。</w:t>
      </w:r>
    </w:p>
    <w:p w14:paraId="60217427">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6.2</w:t>
      </w:r>
      <w:r>
        <w:rPr>
          <w:rFonts w:hint="eastAsia" w:ascii="宋体" w:hAnsi="宋体" w:eastAsia="宋体" w:cs="宋体"/>
          <w:bCs/>
          <w:snapToGrid w:val="0"/>
          <w:color w:val="000000"/>
          <w:kern w:val="0"/>
          <w:sz w:val="21"/>
          <w:szCs w:val="21"/>
          <w:lang w:eastAsia="en-US"/>
        </w:rPr>
        <w:t>变更</w:t>
      </w:r>
    </w:p>
    <w:p w14:paraId="62E6E162">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6.2.1 任何一方提出变更请求时，双方经协商一致后可进行变更。</w:t>
      </w:r>
    </w:p>
    <w:p w14:paraId="154A2E08">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6.2.2</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snapToGrid w:val="0"/>
          <w:color w:val="000000"/>
          <w:kern w:val="0"/>
          <w:sz w:val="21"/>
          <w:szCs w:val="21"/>
          <w:lang w:eastAsia="en-US"/>
        </w:rPr>
        <w:t>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5C56639F">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6.2.3</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snapToGrid w:val="0"/>
          <w:color w:val="000000"/>
          <w:kern w:val="0"/>
          <w:sz w:val="21"/>
          <w:szCs w:val="21"/>
          <w:lang w:eastAsia="en-US"/>
        </w:rPr>
        <w:t>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467210B5">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6.2.4</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snapToGrid w:val="0"/>
          <w:color w:val="000000"/>
          <w:kern w:val="0"/>
          <w:sz w:val="21"/>
          <w:szCs w:val="21"/>
          <w:lang w:eastAsia="en-US"/>
        </w:rPr>
        <w:t>合同签订后，遇有与工程相关的法律法规、标准颁布或修订的，双方应遵照执行。由此引起监理与相关服务的范围、时间、酬金变化的，双方应通过协商进行相应调整。</w:t>
      </w:r>
    </w:p>
    <w:p w14:paraId="2BA07C38">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6.2.5 因非监理人原因造成工程概算投资额或建筑安装工程费增加时，正常工作酬金应作相应调整。调整方法在专用条件中约定。</w:t>
      </w:r>
    </w:p>
    <w:p w14:paraId="3065BFCB">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6.2.6 因工程规模、监理范围的变化导致监理人的正常工作量减少时，正常工作酬金应作相应调整。调整方法在专用条件中约定。</w:t>
      </w:r>
    </w:p>
    <w:p w14:paraId="28AC670A">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 xml:space="preserve">  6.3 暂停与</w:t>
      </w:r>
      <w:r>
        <w:rPr>
          <w:rFonts w:hint="eastAsia" w:ascii="宋体" w:hAnsi="宋体" w:eastAsia="宋体" w:cs="宋体"/>
          <w:bCs/>
          <w:snapToGrid w:val="0"/>
          <w:color w:val="000000"/>
          <w:kern w:val="0"/>
          <w:sz w:val="21"/>
          <w:szCs w:val="21"/>
          <w:lang w:eastAsia="en-US"/>
        </w:rPr>
        <w:t>解除</w:t>
      </w:r>
    </w:p>
    <w:p w14:paraId="2D9CA47D">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除双方协商一致可以解除本合同外，当一方无正当理由未履行本合同约定的义务时，另一方可以根据本合同约定暂停履行本合同直至解除本合同。</w:t>
      </w:r>
    </w:p>
    <w:p w14:paraId="1B76E982">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08C3D319">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因解除本合同或解除监理人的部分义务导致监理人遭受的损失，除依法可以免除责任的情况外，应由委托人予以补偿，补偿金额由双方协商确定。</w:t>
      </w:r>
    </w:p>
    <w:p w14:paraId="71456328">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解除本合同的协议必须采取书面形式，协议未达成之前，本合同仍然有效。</w:t>
      </w:r>
    </w:p>
    <w:p w14:paraId="3D6696C1">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2FDAC535">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141502A5">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36D07CE0">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60C76988">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6.3.5 因不可抗力致使本合同部分或全部不能履行时，一方应立即通知另一方，可暂停或解除本合同。</w:t>
      </w:r>
    </w:p>
    <w:p w14:paraId="1ED6C90E">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6.3.6 本合同解除后，本合同约定的有关结算、清理、争议解决方式的条件仍然有效。</w:t>
      </w:r>
    </w:p>
    <w:p w14:paraId="639D36B6">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 xml:space="preserve">6.4 </w:t>
      </w:r>
      <w:r>
        <w:rPr>
          <w:rFonts w:hint="eastAsia" w:ascii="宋体" w:hAnsi="宋体" w:eastAsia="宋体" w:cs="宋体"/>
          <w:bCs/>
          <w:snapToGrid w:val="0"/>
          <w:color w:val="000000"/>
          <w:kern w:val="0"/>
          <w:sz w:val="21"/>
          <w:szCs w:val="21"/>
          <w:lang w:eastAsia="en-US"/>
        </w:rPr>
        <w:t>终止</w:t>
      </w:r>
    </w:p>
    <w:p w14:paraId="13B69563">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以下条件全部满足时，本合同即告终止：</w:t>
      </w:r>
    </w:p>
    <w:p w14:paraId="795EDB96">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（1）监理人完成本合同约定的全部工作；</w:t>
      </w:r>
    </w:p>
    <w:p w14:paraId="4692548F">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（2）委托人与监理人结清并支付全部酬金。</w:t>
      </w:r>
    </w:p>
    <w:p w14:paraId="02D50343">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bCs/>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t>7. 争议解决</w:t>
      </w:r>
    </w:p>
    <w:p w14:paraId="245DC1CF">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7.1</w:t>
      </w:r>
      <w:r>
        <w:rPr>
          <w:rFonts w:hint="eastAsia" w:ascii="宋体" w:hAnsi="宋体" w:eastAsia="宋体" w:cs="宋体"/>
          <w:bCs/>
          <w:snapToGrid w:val="0"/>
          <w:color w:val="000000"/>
          <w:kern w:val="0"/>
          <w:sz w:val="21"/>
          <w:szCs w:val="21"/>
          <w:lang w:eastAsia="en-US"/>
        </w:rPr>
        <w:t>协商</w:t>
      </w:r>
    </w:p>
    <w:p w14:paraId="0FD7D05E">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双方应本着诚信原则协商解决彼此间的争议。</w:t>
      </w:r>
    </w:p>
    <w:p w14:paraId="1F76A620">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7.2</w:t>
      </w:r>
      <w:r>
        <w:rPr>
          <w:rFonts w:hint="eastAsia" w:ascii="宋体" w:hAnsi="宋体" w:eastAsia="宋体" w:cs="宋体"/>
          <w:bCs/>
          <w:snapToGrid w:val="0"/>
          <w:color w:val="000000"/>
          <w:kern w:val="0"/>
          <w:sz w:val="21"/>
          <w:szCs w:val="21"/>
          <w:lang w:eastAsia="en-US"/>
        </w:rPr>
        <w:t>调解</w:t>
      </w:r>
    </w:p>
    <w:p w14:paraId="29B1A225">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如果双方不能在14天内或双方商定的其他时间内解决本合同争议，可以将其提交给专用条件约定的或事后达成协议的调解人进行调解。</w:t>
      </w:r>
    </w:p>
    <w:p w14:paraId="6F631F28">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7.3</w:t>
      </w:r>
      <w:r>
        <w:rPr>
          <w:rFonts w:hint="eastAsia" w:ascii="宋体" w:hAnsi="宋体" w:eastAsia="宋体" w:cs="宋体"/>
          <w:bCs/>
          <w:snapToGrid w:val="0"/>
          <w:color w:val="000000"/>
          <w:kern w:val="0"/>
          <w:sz w:val="21"/>
          <w:szCs w:val="21"/>
          <w:lang w:eastAsia="en-US"/>
        </w:rPr>
        <w:t>仲裁或诉讼</w:t>
      </w:r>
    </w:p>
    <w:p w14:paraId="0FC79956">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双方均有权不经调解直接向专用条件约定的仲裁机构申请仲裁或向有管辖权的人民法院提起诉讼。</w:t>
      </w:r>
    </w:p>
    <w:p w14:paraId="70B02BA7">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bCs/>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t>8. 其他</w:t>
      </w:r>
    </w:p>
    <w:p w14:paraId="4C432AA0">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 xml:space="preserve">8.1 </w:t>
      </w:r>
      <w:r>
        <w:rPr>
          <w:rFonts w:hint="eastAsia" w:ascii="宋体" w:hAnsi="宋体" w:eastAsia="宋体" w:cs="宋体"/>
          <w:bCs/>
          <w:snapToGrid w:val="0"/>
          <w:color w:val="000000"/>
          <w:kern w:val="0"/>
          <w:sz w:val="21"/>
          <w:szCs w:val="21"/>
          <w:lang w:eastAsia="en-US"/>
        </w:rPr>
        <w:t>外出考察费用</w:t>
      </w:r>
    </w:p>
    <w:p w14:paraId="0CBD2A7E">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经委托人同意，监理人员外出考察发生的费用由委托人审核后支付。</w:t>
      </w:r>
    </w:p>
    <w:p w14:paraId="3457EE23">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 xml:space="preserve">8.2 </w:t>
      </w:r>
      <w:r>
        <w:rPr>
          <w:rFonts w:hint="eastAsia" w:ascii="宋体" w:hAnsi="宋体" w:eastAsia="宋体" w:cs="宋体"/>
          <w:bCs/>
          <w:snapToGrid w:val="0"/>
          <w:color w:val="000000"/>
          <w:kern w:val="0"/>
          <w:sz w:val="21"/>
          <w:szCs w:val="21"/>
          <w:lang w:eastAsia="en-US"/>
        </w:rPr>
        <w:t>检测费用</w:t>
      </w:r>
    </w:p>
    <w:p w14:paraId="3B9AE308">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委托人要求监理人进行的材料和设备检测所发生的费用，由委托人支付，支付时间在专用条件中约定。</w:t>
      </w:r>
    </w:p>
    <w:p w14:paraId="10F79ABD">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 xml:space="preserve">8.3 </w:t>
      </w:r>
      <w:r>
        <w:rPr>
          <w:rFonts w:hint="eastAsia" w:ascii="宋体" w:hAnsi="宋体" w:eastAsia="宋体" w:cs="宋体"/>
          <w:bCs/>
          <w:snapToGrid w:val="0"/>
          <w:color w:val="000000"/>
          <w:kern w:val="0"/>
          <w:sz w:val="21"/>
          <w:szCs w:val="21"/>
          <w:lang w:eastAsia="en-US"/>
        </w:rPr>
        <w:t>咨询费用</w:t>
      </w:r>
    </w:p>
    <w:p w14:paraId="0ADDD3AA">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经委托人同意，根据工程需要由监理人组织的相关咨询论证会以及聘请相关专家等发生的费用由委托人支付，支付时间在专用条件中约定。</w:t>
      </w:r>
    </w:p>
    <w:p w14:paraId="05F9367F">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 xml:space="preserve">8.4 </w:t>
      </w:r>
      <w:r>
        <w:rPr>
          <w:rFonts w:hint="eastAsia" w:ascii="宋体" w:hAnsi="宋体" w:eastAsia="宋体" w:cs="宋体"/>
          <w:bCs/>
          <w:snapToGrid w:val="0"/>
          <w:color w:val="000000"/>
          <w:kern w:val="0"/>
          <w:sz w:val="21"/>
          <w:szCs w:val="21"/>
          <w:lang w:eastAsia="en-US"/>
        </w:rPr>
        <w:t>奖励</w:t>
      </w:r>
    </w:p>
    <w:p w14:paraId="398345D5">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监理人在服务过程中提出的合理化建议，使委托人获得经济效益的，双方在专用条件中约定奖励金额的确定方法。奖励金额在合理化建议被采纳后，与最近一期的正常工作酬金同期支付。</w:t>
      </w:r>
    </w:p>
    <w:p w14:paraId="69D1BFAA">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 xml:space="preserve">8.5 </w:t>
      </w:r>
      <w:r>
        <w:rPr>
          <w:rFonts w:hint="eastAsia" w:ascii="宋体" w:hAnsi="宋体" w:eastAsia="宋体" w:cs="宋体"/>
          <w:bCs/>
          <w:snapToGrid w:val="0"/>
          <w:color w:val="000000"/>
          <w:kern w:val="0"/>
          <w:sz w:val="21"/>
          <w:szCs w:val="21"/>
          <w:lang w:eastAsia="en-US"/>
        </w:rPr>
        <w:t>守法诚信</w:t>
      </w:r>
    </w:p>
    <w:p w14:paraId="2E580C11">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监理人及其工作人员不得从与实施工程有关的第三方处获得任何经济利益。</w:t>
      </w:r>
    </w:p>
    <w:p w14:paraId="185C3338">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 xml:space="preserve">8.6 </w:t>
      </w:r>
      <w:r>
        <w:rPr>
          <w:rFonts w:hint="eastAsia" w:ascii="宋体" w:hAnsi="宋体" w:eastAsia="宋体" w:cs="宋体"/>
          <w:bCs/>
          <w:snapToGrid w:val="0"/>
          <w:color w:val="000000"/>
          <w:kern w:val="0"/>
          <w:sz w:val="21"/>
          <w:szCs w:val="21"/>
          <w:lang w:eastAsia="en-US"/>
        </w:rPr>
        <w:t>保密</w:t>
      </w:r>
    </w:p>
    <w:p w14:paraId="1530DC53">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双方不得泄露对方申明的保密资料，亦不得泄露与实施工程有关的第三方所提供的保密资料，保密事项在专用条件中约定。</w:t>
      </w:r>
    </w:p>
    <w:p w14:paraId="222A9C5B">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 xml:space="preserve">8.7 </w:t>
      </w:r>
      <w:r>
        <w:rPr>
          <w:rFonts w:hint="eastAsia" w:ascii="宋体" w:hAnsi="宋体" w:eastAsia="宋体" w:cs="宋体"/>
          <w:bCs/>
          <w:snapToGrid w:val="0"/>
          <w:color w:val="000000"/>
          <w:kern w:val="0"/>
          <w:sz w:val="21"/>
          <w:szCs w:val="21"/>
          <w:lang w:eastAsia="en-US"/>
        </w:rPr>
        <w:t>通知</w:t>
      </w:r>
    </w:p>
    <w:p w14:paraId="376C1FF2">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本合同涉及的通知均应当采用书面形式，并在送达对方时生效，收件人应书面签收。</w:t>
      </w:r>
    </w:p>
    <w:p w14:paraId="6BCDCA94">
      <w:pPr>
        <w:widowControl/>
        <w:kinsoku/>
        <w:overflowPunct w:val="0"/>
        <w:topLinePunct w:val="0"/>
        <w:autoSpaceDE w:val="0"/>
        <w:autoSpaceDN w:val="0"/>
        <w:adjustRightInd w:val="0"/>
        <w:snapToGrid w:val="0"/>
        <w:spacing w:line="360" w:lineRule="auto"/>
        <w:ind w:left="210" w:leftChars="100"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 xml:space="preserve">8.8 </w:t>
      </w:r>
      <w:r>
        <w:rPr>
          <w:rFonts w:hint="eastAsia" w:ascii="宋体" w:hAnsi="宋体" w:eastAsia="宋体" w:cs="宋体"/>
          <w:bCs/>
          <w:snapToGrid w:val="0"/>
          <w:color w:val="000000"/>
          <w:kern w:val="0"/>
          <w:sz w:val="21"/>
          <w:szCs w:val="21"/>
          <w:lang w:eastAsia="en-US"/>
        </w:rPr>
        <w:t>著作权</w:t>
      </w:r>
    </w:p>
    <w:p w14:paraId="7A376A77">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监理人对其编制的文件拥有著作权。</w:t>
      </w:r>
    </w:p>
    <w:p w14:paraId="12B95172">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368DF887">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bCs/>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br w:type="page"/>
      </w:r>
    </w:p>
    <w:p w14:paraId="054933FC">
      <w:pPr>
        <w:widowControl/>
        <w:kinsoku/>
        <w:overflowPunct w:val="0"/>
        <w:topLinePunct w:val="0"/>
        <w:autoSpaceDE w:val="0"/>
        <w:autoSpaceDN w:val="0"/>
        <w:bidi w:val="0"/>
        <w:adjustRightInd w:val="0"/>
        <w:snapToGrid w:val="0"/>
        <w:spacing w:line="360" w:lineRule="auto"/>
        <w:ind w:firstLine="422" w:firstLineChars="200"/>
        <w:jc w:val="center"/>
        <w:textAlignment w:val="baseline"/>
        <w:rPr>
          <w:rFonts w:hint="eastAsia" w:ascii="宋体" w:hAnsi="宋体" w:eastAsia="宋体" w:cs="宋体"/>
          <w:b/>
          <w:bCs/>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t>第三部分  专用条件</w:t>
      </w:r>
    </w:p>
    <w:p w14:paraId="10AABCE8">
      <w:pPr>
        <w:widowControl/>
        <w:kinsoku/>
        <w:overflowPunct w:val="0"/>
        <w:topLinePunct w:val="0"/>
        <w:autoSpaceDE w:val="0"/>
        <w:autoSpaceDN w:val="0"/>
        <w:adjustRightInd w:val="0"/>
        <w:snapToGrid w:val="0"/>
        <w:spacing w:line="360" w:lineRule="auto"/>
        <w:ind w:firstLine="422" w:firstLineChars="200"/>
        <w:jc w:val="center"/>
        <w:textAlignment w:val="baseline"/>
        <w:rPr>
          <w:rFonts w:hint="eastAsia" w:ascii="宋体" w:hAnsi="宋体" w:eastAsia="宋体" w:cs="宋体"/>
          <w:b/>
          <w:snapToGrid w:val="0"/>
          <w:color w:val="000000"/>
          <w:kern w:val="0"/>
          <w:sz w:val="21"/>
          <w:szCs w:val="21"/>
          <w:lang w:eastAsia="en-US"/>
        </w:rPr>
      </w:pPr>
    </w:p>
    <w:p w14:paraId="32DF9954">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snapToGrid w:val="0"/>
          <w:color w:val="000000"/>
          <w:kern w:val="0"/>
          <w:sz w:val="21"/>
          <w:szCs w:val="21"/>
          <w:lang w:eastAsia="en-US"/>
        </w:rPr>
      </w:pPr>
      <w:r>
        <w:rPr>
          <w:rFonts w:hint="eastAsia" w:ascii="宋体" w:hAnsi="宋体" w:eastAsia="宋体" w:cs="宋体"/>
          <w:b/>
          <w:snapToGrid w:val="0"/>
          <w:color w:val="000000"/>
          <w:kern w:val="0"/>
          <w:sz w:val="21"/>
          <w:szCs w:val="21"/>
          <w:lang w:eastAsia="en-US"/>
        </w:rPr>
        <w:t>1. 定义与解释</w:t>
      </w:r>
    </w:p>
    <w:p w14:paraId="766AFC65">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1.2  解释</w:t>
      </w:r>
    </w:p>
    <w:p w14:paraId="02F67673">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1.2.1 本合同文件除使用中文外，还可用</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3F6DD928">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1.2.2 约定本合同文件的解释顺序为：</w:t>
      </w:r>
    </w:p>
    <w:p w14:paraId="2DBADB4F">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bCs/>
          <w:snapToGrid w:val="0"/>
          <w:color w:val="0000FF"/>
          <w:kern w:val="0"/>
          <w:sz w:val="21"/>
          <w:szCs w:val="21"/>
          <w:u w:val="single"/>
          <w:lang w:val="en-US" w:eastAsia="zh-CN"/>
        </w:rPr>
      </w:pPr>
      <w:r>
        <w:rPr>
          <w:rFonts w:hint="eastAsia" w:ascii="宋体" w:hAnsi="宋体" w:eastAsia="宋体" w:cs="宋体"/>
          <w:b/>
          <w:bCs/>
          <w:snapToGrid w:val="0"/>
          <w:color w:val="0000FF"/>
          <w:kern w:val="0"/>
          <w:sz w:val="21"/>
          <w:szCs w:val="21"/>
          <w:lang w:eastAsia="zh-CN"/>
        </w:rPr>
        <w:t>（</w:t>
      </w:r>
      <w:r>
        <w:rPr>
          <w:rFonts w:hint="eastAsia" w:ascii="宋体" w:hAnsi="宋体" w:eastAsia="宋体" w:cs="宋体"/>
          <w:b/>
          <w:bCs/>
          <w:snapToGrid w:val="0"/>
          <w:color w:val="0000FF"/>
          <w:kern w:val="0"/>
          <w:sz w:val="21"/>
          <w:szCs w:val="21"/>
          <w:lang w:val="en-US" w:eastAsia="zh-CN"/>
        </w:rPr>
        <w:t>1</w:t>
      </w:r>
      <w:r>
        <w:rPr>
          <w:rFonts w:hint="eastAsia" w:ascii="宋体" w:hAnsi="宋体" w:eastAsia="宋体" w:cs="宋体"/>
          <w:b/>
          <w:bCs/>
          <w:snapToGrid w:val="0"/>
          <w:color w:val="0000FF"/>
          <w:kern w:val="0"/>
          <w:sz w:val="21"/>
          <w:szCs w:val="21"/>
          <w:lang w:eastAsia="zh-CN"/>
        </w:rPr>
        <w:t>）</w:t>
      </w:r>
      <w:r>
        <w:rPr>
          <w:rFonts w:hint="eastAsia" w:ascii="宋体" w:hAnsi="宋体" w:eastAsia="宋体" w:cs="宋体"/>
          <w:b/>
          <w:bCs/>
          <w:snapToGrid w:val="0"/>
          <w:color w:val="0000FF"/>
          <w:kern w:val="0"/>
          <w:sz w:val="21"/>
          <w:szCs w:val="21"/>
          <w:u w:val="single"/>
          <w:lang w:val="en-US" w:eastAsia="zh-CN"/>
        </w:rPr>
        <w:t>协议书；</w:t>
      </w:r>
    </w:p>
    <w:p w14:paraId="0922BBD1">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bCs/>
          <w:snapToGrid w:val="0"/>
          <w:color w:val="0000FF"/>
          <w:kern w:val="0"/>
          <w:sz w:val="21"/>
          <w:szCs w:val="21"/>
          <w:u w:val="single"/>
          <w:lang w:val="en-US" w:eastAsia="zh-CN"/>
        </w:rPr>
      </w:pPr>
      <w:r>
        <w:rPr>
          <w:rFonts w:hint="eastAsia" w:ascii="宋体" w:hAnsi="宋体" w:eastAsia="宋体" w:cs="宋体"/>
          <w:b/>
          <w:bCs/>
          <w:snapToGrid w:val="0"/>
          <w:color w:val="0000FF"/>
          <w:kern w:val="0"/>
          <w:sz w:val="21"/>
          <w:szCs w:val="21"/>
          <w:u w:val="none"/>
          <w:lang w:val="en-US" w:eastAsia="zh-CN"/>
        </w:rPr>
        <w:t>（2）</w:t>
      </w:r>
      <w:r>
        <w:rPr>
          <w:rFonts w:hint="eastAsia" w:ascii="宋体" w:hAnsi="宋体" w:eastAsia="宋体" w:cs="宋体"/>
          <w:b/>
          <w:bCs/>
          <w:snapToGrid w:val="0"/>
          <w:color w:val="0000FF"/>
          <w:kern w:val="0"/>
          <w:sz w:val="21"/>
          <w:szCs w:val="21"/>
          <w:u w:val="single"/>
          <w:lang w:val="en-US" w:eastAsia="zh-CN"/>
        </w:rPr>
        <w:t>中标通知书；</w:t>
      </w:r>
    </w:p>
    <w:p w14:paraId="600AE0D8">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bCs/>
          <w:snapToGrid w:val="0"/>
          <w:color w:val="0000FF"/>
          <w:kern w:val="0"/>
          <w:sz w:val="21"/>
          <w:szCs w:val="21"/>
          <w:u w:val="single"/>
          <w:lang w:val="en-US" w:eastAsia="zh-CN"/>
        </w:rPr>
      </w:pPr>
      <w:r>
        <w:rPr>
          <w:rFonts w:hint="eastAsia" w:ascii="宋体" w:hAnsi="宋体" w:eastAsia="宋体" w:cs="宋体"/>
          <w:b/>
          <w:bCs/>
          <w:snapToGrid w:val="0"/>
          <w:color w:val="0000FF"/>
          <w:kern w:val="0"/>
          <w:sz w:val="21"/>
          <w:szCs w:val="21"/>
          <w:u w:val="none"/>
          <w:lang w:val="en-US" w:eastAsia="zh-CN"/>
        </w:rPr>
        <w:t>（3）</w:t>
      </w:r>
      <w:r>
        <w:rPr>
          <w:rFonts w:hint="eastAsia" w:ascii="宋体" w:hAnsi="宋体" w:eastAsia="宋体" w:cs="宋体"/>
          <w:b/>
          <w:bCs/>
          <w:snapToGrid w:val="0"/>
          <w:color w:val="0000FF"/>
          <w:kern w:val="0"/>
          <w:sz w:val="21"/>
          <w:szCs w:val="21"/>
          <w:u w:val="single"/>
          <w:lang w:val="en-US" w:eastAsia="zh-CN"/>
        </w:rPr>
        <w:t>投标文件；</w:t>
      </w:r>
    </w:p>
    <w:p w14:paraId="36D3A2BC">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bCs/>
          <w:snapToGrid w:val="0"/>
          <w:color w:val="0000FF"/>
          <w:kern w:val="0"/>
          <w:sz w:val="21"/>
          <w:szCs w:val="21"/>
          <w:u w:val="single"/>
          <w:lang w:val="en-US" w:eastAsia="zh-CN"/>
        </w:rPr>
      </w:pPr>
      <w:r>
        <w:rPr>
          <w:rFonts w:hint="eastAsia" w:ascii="宋体" w:hAnsi="宋体" w:eastAsia="宋体" w:cs="宋体"/>
          <w:b/>
          <w:bCs/>
          <w:snapToGrid w:val="0"/>
          <w:color w:val="0000FF"/>
          <w:kern w:val="0"/>
          <w:sz w:val="21"/>
          <w:szCs w:val="21"/>
          <w:u w:val="none"/>
          <w:lang w:val="en-US" w:eastAsia="zh-CN"/>
        </w:rPr>
        <w:t>（4）</w:t>
      </w:r>
      <w:r>
        <w:rPr>
          <w:rFonts w:hint="eastAsia" w:ascii="宋体" w:hAnsi="宋体" w:eastAsia="宋体" w:cs="宋体"/>
          <w:b/>
          <w:bCs/>
          <w:snapToGrid w:val="0"/>
          <w:color w:val="0000FF"/>
          <w:kern w:val="0"/>
          <w:sz w:val="21"/>
          <w:szCs w:val="21"/>
          <w:u w:val="single"/>
          <w:lang w:val="en-US" w:eastAsia="zh-CN"/>
        </w:rPr>
        <w:t>专用条件及附录A、附录B；</w:t>
      </w:r>
    </w:p>
    <w:p w14:paraId="7D5A7A8F">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bCs/>
          <w:snapToGrid w:val="0"/>
          <w:color w:val="0000FF"/>
          <w:kern w:val="0"/>
          <w:sz w:val="21"/>
          <w:szCs w:val="21"/>
          <w:u w:val="single"/>
          <w:lang w:val="en-US" w:eastAsia="zh-CN"/>
        </w:rPr>
      </w:pPr>
      <w:r>
        <w:rPr>
          <w:rFonts w:hint="eastAsia" w:ascii="宋体" w:hAnsi="宋体" w:eastAsia="宋体" w:cs="宋体"/>
          <w:b/>
          <w:bCs/>
          <w:snapToGrid w:val="0"/>
          <w:color w:val="0000FF"/>
          <w:kern w:val="0"/>
          <w:sz w:val="21"/>
          <w:szCs w:val="21"/>
          <w:u w:val="none"/>
          <w:lang w:val="en-US" w:eastAsia="zh-CN"/>
        </w:rPr>
        <w:t>（5）</w:t>
      </w:r>
      <w:r>
        <w:rPr>
          <w:rFonts w:hint="eastAsia" w:ascii="宋体" w:hAnsi="宋体" w:eastAsia="宋体" w:cs="宋体"/>
          <w:b/>
          <w:bCs/>
          <w:snapToGrid w:val="0"/>
          <w:color w:val="0000FF"/>
          <w:kern w:val="0"/>
          <w:sz w:val="21"/>
          <w:szCs w:val="21"/>
          <w:u w:val="single"/>
          <w:lang w:val="en-US" w:eastAsia="zh-CN"/>
        </w:rPr>
        <w:t>通用条件；</w:t>
      </w:r>
    </w:p>
    <w:p w14:paraId="0B10EC4C">
      <w:pPr>
        <w:widowControl/>
        <w:kinsoku/>
        <w:overflowPunct w:val="0"/>
        <w:topLinePunct w:val="0"/>
        <w:autoSpaceDE w:val="0"/>
        <w:autoSpaceDN w:val="0"/>
        <w:adjustRightInd w:val="0"/>
        <w:snapToGrid w:val="0"/>
        <w:spacing w:line="360" w:lineRule="auto"/>
        <w:ind w:firstLine="422" w:firstLineChars="200"/>
        <w:jc w:val="left"/>
        <w:textAlignment w:val="baseline"/>
        <w:rPr>
          <w:rFonts w:hint="default" w:ascii="宋体" w:hAnsi="宋体" w:eastAsia="宋体" w:cs="宋体"/>
          <w:b/>
          <w:bCs/>
          <w:snapToGrid w:val="0"/>
          <w:color w:val="0000FF"/>
          <w:kern w:val="0"/>
          <w:sz w:val="21"/>
          <w:szCs w:val="21"/>
          <w:u w:val="single"/>
          <w:lang w:val="en-US" w:eastAsia="zh-CN"/>
        </w:rPr>
      </w:pPr>
      <w:r>
        <w:rPr>
          <w:rFonts w:hint="eastAsia" w:ascii="宋体" w:hAnsi="宋体" w:eastAsia="宋体" w:cs="宋体"/>
          <w:b/>
          <w:bCs/>
          <w:snapToGrid w:val="0"/>
          <w:color w:val="0000FF"/>
          <w:kern w:val="0"/>
          <w:sz w:val="21"/>
          <w:szCs w:val="21"/>
          <w:u w:val="none"/>
          <w:lang w:val="en-US" w:eastAsia="zh-CN"/>
        </w:rPr>
        <w:t>（6）</w:t>
      </w:r>
      <w:r>
        <w:rPr>
          <w:rFonts w:hint="eastAsia" w:ascii="宋体" w:hAnsi="宋体" w:eastAsia="宋体" w:cs="宋体"/>
          <w:b/>
          <w:bCs/>
          <w:snapToGrid w:val="0"/>
          <w:color w:val="0000FF"/>
          <w:kern w:val="0"/>
          <w:sz w:val="21"/>
          <w:szCs w:val="21"/>
          <w:u w:val="single"/>
          <w:lang w:val="en-US" w:eastAsia="zh-CN"/>
        </w:rPr>
        <w:t>招标文件。</w:t>
      </w:r>
    </w:p>
    <w:p w14:paraId="7B44F958">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snapToGrid w:val="0"/>
          <w:color w:val="000000"/>
          <w:kern w:val="0"/>
          <w:sz w:val="21"/>
          <w:szCs w:val="21"/>
          <w:lang w:eastAsia="en-US"/>
        </w:rPr>
      </w:pPr>
      <w:r>
        <w:rPr>
          <w:rFonts w:hint="eastAsia" w:ascii="宋体" w:hAnsi="宋体" w:eastAsia="宋体" w:cs="宋体"/>
          <w:b/>
          <w:snapToGrid w:val="0"/>
          <w:color w:val="000000"/>
          <w:kern w:val="0"/>
          <w:sz w:val="21"/>
          <w:szCs w:val="21"/>
          <w:lang w:eastAsia="en-US"/>
        </w:rPr>
        <w:t>2. 监理人义务</w:t>
      </w:r>
    </w:p>
    <w:p w14:paraId="7E26BF8C">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2.1 监理的范围和</w:t>
      </w:r>
      <w:r>
        <w:rPr>
          <w:rFonts w:hint="eastAsia" w:ascii="宋体" w:hAnsi="宋体" w:eastAsia="宋体" w:cs="宋体"/>
          <w:bCs/>
          <w:snapToGrid w:val="0"/>
          <w:color w:val="000000"/>
          <w:kern w:val="0"/>
          <w:sz w:val="21"/>
          <w:szCs w:val="21"/>
          <w:lang w:eastAsia="en-US"/>
        </w:rPr>
        <w:t>内容</w:t>
      </w:r>
    </w:p>
    <w:p w14:paraId="6492E789">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
          <w:bCs/>
          <w:snapToGrid w:val="0"/>
          <w:color w:val="0000FF"/>
          <w:kern w:val="0"/>
          <w:sz w:val="21"/>
          <w:szCs w:val="21"/>
          <w:lang w:eastAsia="zh-CN"/>
        </w:rPr>
      </w:pPr>
      <w:r>
        <w:rPr>
          <w:rFonts w:hint="eastAsia" w:ascii="宋体" w:hAnsi="宋体" w:eastAsia="宋体" w:cs="宋体"/>
          <w:snapToGrid w:val="0"/>
          <w:color w:val="000000"/>
          <w:kern w:val="0"/>
          <w:sz w:val="21"/>
          <w:szCs w:val="21"/>
          <w:lang w:eastAsia="en-US"/>
        </w:rPr>
        <w:t>2.1.1 监理范围包括：</w:t>
      </w:r>
      <w:r>
        <w:rPr>
          <w:rFonts w:hint="eastAsia" w:ascii="宋体" w:hAnsi="宋体" w:eastAsia="宋体" w:cs="宋体"/>
          <w:b/>
          <w:bCs/>
          <w:snapToGrid w:val="0"/>
          <w:color w:val="0000FF"/>
          <w:kern w:val="0"/>
          <w:sz w:val="21"/>
          <w:szCs w:val="21"/>
          <w:u w:val="single"/>
          <w:lang w:val="en-US" w:eastAsia="zh-CN"/>
        </w:rPr>
        <w:t>本标段</w:t>
      </w:r>
      <w:r>
        <w:rPr>
          <w:rFonts w:hint="eastAsia" w:ascii="宋体" w:hAnsi="宋体" w:eastAsia="宋体" w:cs="宋体"/>
          <w:b/>
          <w:bCs/>
          <w:snapToGrid w:val="0"/>
          <w:color w:val="0000FF"/>
          <w:kern w:val="0"/>
          <w:sz w:val="21"/>
          <w:szCs w:val="21"/>
          <w:u w:val="single"/>
          <w:lang w:eastAsia="en-US"/>
        </w:rPr>
        <w:t>施工及保修阶段监理全部内容</w:t>
      </w:r>
      <w:r>
        <w:rPr>
          <w:rFonts w:hint="eastAsia" w:ascii="宋体" w:hAnsi="宋体" w:eastAsia="宋体" w:cs="宋体"/>
          <w:b/>
          <w:bCs/>
          <w:snapToGrid w:val="0"/>
          <w:color w:val="0000FF"/>
          <w:kern w:val="0"/>
          <w:sz w:val="21"/>
          <w:szCs w:val="21"/>
          <w:u w:val="single"/>
          <w:lang w:eastAsia="zh-CN"/>
        </w:rPr>
        <w:t>。</w:t>
      </w:r>
    </w:p>
    <w:p w14:paraId="71872D4F">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
          <w:bCs/>
          <w:snapToGrid w:val="0"/>
          <w:color w:val="0000FF"/>
          <w:kern w:val="0"/>
          <w:sz w:val="21"/>
          <w:szCs w:val="21"/>
          <w:lang w:eastAsia="en-US"/>
        </w:rPr>
      </w:pPr>
      <w:r>
        <w:rPr>
          <w:rFonts w:hint="eastAsia" w:ascii="宋体" w:hAnsi="宋体" w:eastAsia="宋体" w:cs="宋体"/>
          <w:snapToGrid w:val="0"/>
          <w:color w:val="000000"/>
          <w:kern w:val="0"/>
          <w:sz w:val="21"/>
          <w:szCs w:val="21"/>
          <w:lang w:eastAsia="en-US"/>
        </w:rPr>
        <w:t>2.1.2 监理工作内容还包括：</w:t>
      </w:r>
      <w:r>
        <w:rPr>
          <w:rFonts w:hint="eastAsia" w:ascii="宋体" w:hAnsi="宋体" w:eastAsia="宋体" w:cs="宋体"/>
          <w:b/>
          <w:bCs/>
          <w:snapToGrid w:val="0"/>
          <w:color w:val="0000FF"/>
          <w:kern w:val="0"/>
          <w:sz w:val="21"/>
          <w:szCs w:val="21"/>
          <w:u w:val="single"/>
          <w:lang w:eastAsia="en-US"/>
        </w:rPr>
        <w:t>与该</w:t>
      </w:r>
      <w:r>
        <w:rPr>
          <w:rFonts w:hint="eastAsia" w:ascii="宋体" w:hAnsi="宋体" w:eastAsia="宋体" w:cs="宋体"/>
          <w:b/>
          <w:bCs/>
          <w:snapToGrid w:val="0"/>
          <w:color w:val="0000FF"/>
          <w:kern w:val="0"/>
          <w:sz w:val="21"/>
          <w:szCs w:val="21"/>
          <w:u w:val="single"/>
          <w:lang w:val="en-US" w:eastAsia="zh-CN"/>
        </w:rPr>
        <w:t>标段</w:t>
      </w:r>
      <w:r>
        <w:rPr>
          <w:rFonts w:hint="eastAsia" w:ascii="宋体" w:hAnsi="宋体" w:eastAsia="宋体" w:cs="宋体"/>
          <w:b/>
          <w:bCs/>
          <w:snapToGrid w:val="0"/>
          <w:color w:val="0000FF"/>
          <w:kern w:val="0"/>
          <w:sz w:val="21"/>
          <w:szCs w:val="21"/>
          <w:u w:val="single"/>
          <w:lang w:eastAsia="en-US"/>
        </w:rPr>
        <w:t>有关的施工图以外的工程，以工程签证、补充协议为准</w:t>
      </w:r>
      <w:r>
        <w:rPr>
          <w:rFonts w:hint="eastAsia" w:ascii="宋体" w:hAnsi="宋体" w:eastAsia="宋体" w:cs="宋体"/>
          <w:b/>
          <w:bCs/>
          <w:snapToGrid w:val="0"/>
          <w:color w:val="0000FF"/>
          <w:kern w:val="0"/>
          <w:sz w:val="21"/>
          <w:szCs w:val="21"/>
          <w:lang w:eastAsia="en-US"/>
        </w:rPr>
        <w:t>。</w:t>
      </w:r>
      <w:bookmarkStart w:id="0" w:name="_GoBack"/>
      <w:bookmarkEnd w:id="0"/>
    </w:p>
    <w:p w14:paraId="1CEA5070">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2.2 监理与相关服务依据</w:t>
      </w:r>
    </w:p>
    <w:p w14:paraId="45DBFE0A">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FF"/>
          <w:kern w:val="0"/>
          <w:sz w:val="21"/>
          <w:szCs w:val="21"/>
          <w:lang w:eastAsia="en-US"/>
        </w:rPr>
      </w:pPr>
      <w:r>
        <w:rPr>
          <w:rFonts w:hint="eastAsia" w:ascii="宋体" w:hAnsi="宋体" w:eastAsia="宋体" w:cs="宋体"/>
          <w:snapToGrid w:val="0"/>
          <w:color w:val="000000"/>
          <w:kern w:val="0"/>
          <w:sz w:val="21"/>
          <w:szCs w:val="21"/>
          <w:lang w:eastAsia="en-US"/>
        </w:rPr>
        <w:t>2.2.1 监理依据包括：</w:t>
      </w:r>
      <w:r>
        <w:rPr>
          <w:rFonts w:hint="eastAsia" w:ascii="宋体" w:hAnsi="宋体" w:eastAsia="宋体" w:cs="宋体"/>
          <w:b/>
          <w:bCs/>
          <w:snapToGrid w:val="0"/>
          <w:color w:val="0000FF"/>
          <w:kern w:val="0"/>
          <w:sz w:val="21"/>
          <w:szCs w:val="21"/>
          <w:u w:val="single"/>
          <w:lang w:eastAsia="en-US"/>
        </w:rPr>
        <w:t>《建设工程监理规范》、《建筑法》、《</w:t>
      </w:r>
      <w:r>
        <w:rPr>
          <w:rFonts w:hint="eastAsia" w:ascii="宋体" w:hAnsi="宋体" w:eastAsia="宋体" w:cs="宋体"/>
          <w:b/>
          <w:bCs/>
          <w:snapToGrid w:val="0"/>
          <w:color w:val="0000FF"/>
          <w:kern w:val="0"/>
          <w:sz w:val="21"/>
          <w:szCs w:val="21"/>
          <w:u w:val="single"/>
          <w:lang w:val="en-US" w:eastAsia="zh-CN"/>
        </w:rPr>
        <w:t>民法典</w:t>
      </w:r>
      <w:r>
        <w:rPr>
          <w:rFonts w:hint="eastAsia" w:ascii="宋体" w:hAnsi="宋体" w:eastAsia="宋体" w:cs="宋体"/>
          <w:b/>
          <w:bCs/>
          <w:snapToGrid w:val="0"/>
          <w:color w:val="0000FF"/>
          <w:kern w:val="0"/>
          <w:sz w:val="21"/>
          <w:szCs w:val="21"/>
          <w:u w:val="single"/>
          <w:lang w:eastAsia="en-US"/>
        </w:rPr>
        <w:t>》</w:t>
      </w:r>
      <w:r>
        <w:rPr>
          <w:rFonts w:hint="eastAsia" w:ascii="宋体" w:hAnsi="宋体" w:eastAsia="宋体" w:cs="宋体"/>
          <w:b/>
          <w:bCs/>
          <w:snapToGrid w:val="0"/>
          <w:color w:val="0000FF"/>
          <w:kern w:val="0"/>
          <w:sz w:val="21"/>
          <w:szCs w:val="21"/>
          <w:u w:val="single"/>
          <w:lang w:eastAsia="zh-CN"/>
        </w:rPr>
        <w:t>；</w:t>
      </w:r>
      <w:r>
        <w:rPr>
          <w:rFonts w:hint="eastAsia" w:ascii="宋体" w:hAnsi="宋体" w:eastAsia="宋体" w:cs="宋体"/>
          <w:b/>
          <w:bCs/>
          <w:snapToGrid w:val="0"/>
          <w:color w:val="0000FF"/>
          <w:kern w:val="0"/>
          <w:sz w:val="21"/>
          <w:szCs w:val="21"/>
          <w:u w:val="single"/>
          <w:lang w:eastAsia="en-US"/>
        </w:rPr>
        <w:t>适用的法律、行政法规及部门规章，与工程有关的标准，工程设计有关文件，本合同及委托人与第三方签订的与实施工程有关的其他合同</w:t>
      </w:r>
      <w:r>
        <w:rPr>
          <w:rFonts w:hint="eastAsia" w:ascii="宋体" w:hAnsi="宋体" w:eastAsia="宋体" w:cs="宋体"/>
          <w:b/>
          <w:bCs/>
          <w:snapToGrid w:val="0"/>
          <w:color w:val="0000FF"/>
          <w:kern w:val="0"/>
          <w:sz w:val="21"/>
          <w:szCs w:val="21"/>
          <w:lang w:eastAsia="en-US"/>
        </w:rPr>
        <w:t>。</w:t>
      </w:r>
    </w:p>
    <w:p w14:paraId="316C608E">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dstrike/>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2.2.2 相关服务依据包括：</w:t>
      </w:r>
      <w:r>
        <w:rPr>
          <w:rFonts w:hint="eastAsia" w:ascii="宋体" w:hAnsi="宋体" w:eastAsia="宋体" w:cs="宋体"/>
          <w:b/>
          <w:bCs/>
          <w:snapToGrid w:val="0"/>
          <w:color w:val="0000FF"/>
          <w:kern w:val="0"/>
          <w:sz w:val="21"/>
          <w:szCs w:val="21"/>
          <w:u w:val="single"/>
          <w:lang w:eastAsia="en-US"/>
        </w:rPr>
        <w:t>同2.2.1项</w:t>
      </w:r>
      <w:r>
        <w:rPr>
          <w:rFonts w:hint="eastAsia" w:ascii="宋体" w:hAnsi="宋体" w:eastAsia="宋体" w:cs="宋体"/>
          <w:b/>
          <w:bCs/>
          <w:snapToGrid w:val="0"/>
          <w:color w:val="0000FF"/>
          <w:kern w:val="0"/>
          <w:sz w:val="21"/>
          <w:szCs w:val="21"/>
          <w:lang w:eastAsia="en-US"/>
        </w:rPr>
        <w:t>。</w:t>
      </w:r>
    </w:p>
    <w:p w14:paraId="08C6A9B6">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2.3项目监理机构和人员</w:t>
      </w:r>
    </w:p>
    <w:p w14:paraId="5C3F9525">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FF"/>
          <w:kern w:val="0"/>
          <w:sz w:val="21"/>
          <w:szCs w:val="21"/>
          <w:lang w:eastAsia="en-US"/>
        </w:rPr>
      </w:pPr>
      <w:r>
        <w:rPr>
          <w:rFonts w:hint="eastAsia" w:ascii="宋体" w:hAnsi="宋体" w:eastAsia="宋体" w:cs="宋体"/>
          <w:snapToGrid w:val="0"/>
          <w:color w:val="000000"/>
          <w:kern w:val="0"/>
          <w:sz w:val="21"/>
          <w:szCs w:val="21"/>
          <w:lang w:eastAsia="en-US"/>
        </w:rPr>
        <w:t>2.3.4 更换监理人员的其他情形：</w:t>
      </w:r>
      <w:r>
        <w:rPr>
          <w:rFonts w:hint="eastAsia" w:ascii="宋体" w:hAnsi="宋体" w:eastAsia="宋体" w:cs="宋体"/>
          <w:b/>
          <w:bCs/>
          <w:snapToGrid w:val="0"/>
          <w:color w:val="0000FF"/>
          <w:kern w:val="0"/>
          <w:sz w:val="21"/>
          <w:szCs w:val="21"/>
          <w:u w:val="single"/>
          <w:lang w:eastAsia="en-US"/>
        </w:rPr>
        <w:t>项目组成人员必须与投标文件中的监理人员配备情况保持一致，项目实施过程中，监理单位派驻现场人员组成不得随意变更，如确需变更，调整人员的注册单位必须与实际工作单位一致，严禁出现挂证现象,如有发生，甲方有权解除合同。派驻现场人员数量必须满足投标文件,如人员数量不足,监理费按相应比例扣除。</w:t>
      </w:r>
    </w:p>
    <w:p w14:paraId="00E220E6">
      <w:pPr>
        <w:widowControl/>
        <w:kinsoku/>
        <w:overflowPunct w:val="0"/>
        <w:topLinePunct w:val="0"/>
        <w:autoSpaceDE w:val="0"/>
        <w:autoSpaceDN w:val="0"/>
        <w:adjustRightInd w:val="0"/>
        <w:snapToGrid w:val="0"/>
        <w:spacing w:line="360" w:lineRule="auto"/>
        <w:ind w:left="0" w:leftChars="0"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2.4 履行职责</w:t>
      </w:r>
    </w:p>
    <w:p w14:paraId="0C23F829">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2.4.3 对监理人的授权范围：</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45CBBE16">
      <w:pPr>
        <w:widowControl/>
        <w:kinsoku/>
        <w:overflowPunct w:val="0"/>
        <w:topLinePunct w:val="0"/>
        <w:autoSpaceDE w:val="0"/>
        <w:autoSpaceDN w:val="0"/>
        <w:bidi w:val="0"/>
        <w:adjustRightInd w:val="0"/>
        <w:snapToGrid w:val="0"/>
        <w:spacing w:line="360" w:lineRule="auto"/>
        <w:ind w:firstLine="420" w:firstLineChars="200"/>
        <w:jc w:val="left"/>
        <w:textAlignment w:val="baseline"/>
        <w:rPr>
          <w:rFonts w:hint="eastAsia" w:ascii="Arial" w:hAnsi="Arial" w:eastAsia="宋体" w:cs="Arial"/>
          <w:snapToGrid w:val="0"/>
          <w:color w:val="000000"/>
          <w:kern w:val="0"/>
          <w:sz w:val="21"/>
          <w:szCs w:val="21"/>
          <w:lang w:eastAsia="en-US"/>
        </w:rPr>
      </w:pPr>
      <w:r>
        <w:rPr>
          <w:rFonts w:hint="eastAsia" w:ascii="Arial" w:hAnsi="Arial" w:eastAsia="宋体" w:cs="Arial"/>
          <w:snapToGrid w:val="0"/>
          <w:color w:val="000000"/>
          <w:kern w:val="0"/>
          <w:sz w:val="21"/>
          <w:szCs w:val="21"/>
          <w:lang w:eastAsia="en-US"/>
        </w:rPr>
        <w:t>在涉及工程延期</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w:t>
      </w:r>
      <w:r>
        <w:rPr>
          <w:rFonts w:hint="eastAsia" w:ascii="宋体" w:hAnsi="宋体" w:eastAsia="宋体" w:cs="宋体"/>
          <w:snapToGrid w:val="0"/>
          <w:color w:val="000000"/>
          <w:kern w:val="0"/>
          <w:sz w:val="21"/>
          <w:szCs w:val="21"/>
          <w:u w:val="single"/>
          <w:lang w:eastAsia="en-US"/>
        </w:rPr>
        <w:t xml:space="preserve">  </w:t>
      </w:r>
      <w:r>
        <w:rPr>
          <w:rFonts w:hint="eastAsia" w:ascii="Arial" w:hAnsi="Arial" w:eastAsia="宋体" w:cs="Arial"/>
          <w:snapToGrid w:val="0"/>
          <w:color w:val="000000"/>
          <w:kern w:val="0"/>
          <w:sz w:val="21"/>
          <w:szCs w:val="21"/>
          <w:lang w:eastAsia="en-US"/>
        </w:rPr>
        <w:t>天内和（或）金额</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none"/>
          <w:lang w:eastAsia="en-US"/>
        </w:rPr>
        <w:t>万</w:t>
      </w:r>
      <w:r>
        <w:rPr>
          <w:rFonts w:hint="eastAsia" w:ascii="Arial" w:hAnsi="Arial" w:eastAsia="宋体" w:cs="Arial"/>
          <w:snapToGrid w:val="0"/>
          <w:color w:val="000000"/>
          <w:kern w:val="0"/>
          <w:sz w:val="21"/>
          <w:szCs w:val="21"/>
          <w:lang w:eastAsia="en-US"/>
        </w:rPr>
        <w:t>元内的变更，监理人不需请示委托人即可向承包人发布变更通知。</w:t>
      </w:r>
    </w:p>
    <w:p w14:paraId="183A2B86">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2.4.4 监理人有权要求承包人调换其人员的限制条件：</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3666777A">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2.5 提交报告</w:t>
      </w:r>
    </w:p>
    <w:p w14:paraId="4DBCEC8C">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FF"/>
          <w:kern w:val="0"/>
          <w:sz w:val="21"/>
          <w:szCs w:val="21"/>
          <w:u w:val="single"/>
          <w:lang w:eastAsia="en-US"/>
        </w:rPr>
      </w:pPr>
      <w:r>
        <w:rPr>
          <w:rFonts w:hint="eastAsia" w:ascii="宋体" w:hAnsi="宋体" w:eastAsia="宋体" w:cs="宋体"/>
          <w:snapToGrid w:val="0"/>
          <w:color w:val="000000"/>
          <w:kern w:val="0"/>
          <w:sz w:val="21"/>
          <w:szCs w:val="21"/>
          <w:lang w:eastAsia="en-US"/>
        </w:rPr>
        <w:t>监理人应提交报告的种类(包括监理规划、监理月报及约定的专项报告)、时间和份数：</w:t>
      </w:r>
      <w:r>
        <w:rPr>
          <w:rFonts w:hint="eastAsia" w:ascii="宋体" w:hAnsi="宋体" w:eastAsia="宋体" w:cs="宋体"/>
          <w:b/>
          <w:bCs/>
          <w:snapToGrid w:val="0"/>
          <w:color w:val="0000FF"/>
          <w:kern w:val="0"/>
          <w:sz w:val="21"/>
          <w:szCs w:val="21"/>
          <w:u w:val="single"/>
          <w:lang w:eastAsia="en-US"/>
        </w:rPr>
        <w:t>在工程第一次工地例会前7天内提交监理规划两份</w:t>
      </w:r>
      <w:r>
        <w:rPr>
          <w:rFonts w:hint="eastAsia" w:ascii="宋体" w:hAnsi="宋体" w:eastAsia="宋体" w:cs="宋体"/>
          <w:b/>
          <w:bCs/>
          <w:snapToGrid w:val="0"/>
          <w:color w:val="0000FF"/>
          <w:kern w:val="0"/>
          <w:sz w:val="21"/>
          <w:szCs w:val="21"/>
          <w:u w:val="single"/>
          <w:lang w:eastAsia="zh-CN"/>
        </w:rPr>
        <w:t>；</w:t>
      </w:r>
      <w:r>
        <w:rPr>
          <w:rFonts w:hint="eastAsia" w:ascii="宋体" w:hAnsi="宋体" w:eastAsia="宋体" w:cs="宋体"/>
          <w:b/>
          <w:bCs/>
          <w:snapToGrid w:val="0"/>
          <w:color w:val="0000FF"/>
          <w:kern w:val="0"/>
          <w:sz w:val="21"/>
          <w:szCs w:val="21"/>
          <w:u w:val="single"/>
          <w:lang w:eastAsia="en-US"/>
        </w:rPr>
        <w:t>监理实施细则根据工程进展，在</w:t>
      </w:r>
      <w:r>
        <w:rPr>
          <w:rFonts w:hint="eastAsia" w:ascii="宋体" w:hAnsi="宋体" w:eastAsia="宋体" w:cs="宋体"/>
          <w:b/>
          <w:bCs/>
          <w:snapToGrid w:val="0"/>
          <w:color w:val="0000FF"/>
          <w:kern w:val="0"/>
          <w:sz w:val="21"/>
          <w:szCs w:val="21"/>
          <w:u w:val="single"/>
          <w:lang w:val="en-US" w:eastAsia="zh-CN"/>
        </w:rPr>
        <w:t>各</w:t>
      </w:r>
      <w:r>
        <w:rPr>
          <w:rFonts w:hint="eastAsia" w:ascii="宋体" w:hAnsi="宋体" w:eastAsia="宋体" w:cs="宋体"/>
          <w:b/>
          <w:bCs/>
          <w:snapToGrid w:val="0"/>
          <w:color w:val="0000FF"/>
          <w:kern w:val="0"/>
          <w:sz w:val="21"/>
          <w:szCs w:val="21"/>
          <w:u w:val="single"/>
          <w:lang w:eastAsia="en-US"/>
        </w:rPr>
        <w:t>分项工程实施前一周提交两份</w:t>
      </w:r>
      <w:r>
        <w:rPr>
          <w:rFonts w:hint="eastAsia" w:ascii="宋体" w:hAnsi="宋体" w:eastAsia="宋体" w:cs="宋体"/>
          <w:b/>
          <w:bCs/>
          <w:snapToGrid w:val="0"/>
          <w:color w:val="0000FF"/>
          <w:kern w:val="0"/>
          <w:sz w:val="21"/>
          <w:szCs w:val="21"/>
          <w:u w:val="single"/>
          <w:lang w:eastAsia="zh-CN"/>
        </w:rPr>
        <w:t>；</w:t>
      </w:r>
      <w:r>
        <w:rPr>
          <w:rFonts w:hint="eastAsia" w:ascii="宋体" w:hAnsi="宋体" w:eastAsia="宋体" w:cs="宋体"/>
          <w:b/>
          <w:bCs/>
          <w:snapToGrid w:val="0"/>
          <w:color w:val="0000FF"/>
          <w:kern w:val="0"/>
          <w:sz w:val="21"/>
          <w:szCs w:val="21"/>
          <w:u w:val="single"/>
          <w:lang w:eastAsia="en-US"/>
        </w:rPr>
        <w:t>施工期间每月28日前提交监理月报两份</w:t>
      </w:r>
      <w:r>
        <w:rPr>
          <w:rFonts w:hint="eastAsia" w:ascii="宋体" w:hAnsi="宋体" w:eastAsia="宋体" w:cs="宋体"/>
          <w:b/>
          <w:bCs/>
          <w:snapToGrid w:val="0"/>
          <w:color w:val="0000FF"/>
          <w:kern w:val="0"/>
          <w:sz w:val="21"/>
          <w:szCs w:val="21"/>
          <w:u w:val="single"/>
          <w:lang w:eastAsia="zh-CN"/>
        </w:rPr>
        <w:t>；</w:t>
      </w:r>
      <w:r>
        <w:rPr>
          <w:rFonts w:hint="eastAsia" w:ascii="宋体" w:hAnsi="宋体" w:eastAsia="宋体" w:cs="宋体"/>
          <w:b/>
          <w:bCs/>
          <w:snapToGrid w:val="0"/>
          <w:color w:val="0000FF"/>
          <w:kern w:val="0"/>
          <w:sz w:val="21"/>
          <w:szCs w:val="21"/>
          <w:u w:val="single"/>
          <w:lang w:eastAsia="en-US"/>
        </w:rPr>
        <w:t>专项报告</w:t>
      </w:r>
      <w:r>
        <w:rPr>
          <w:rFonts w:hint="eastAsia" w:ascii="宋体" w:hAnsi="宋体" w:eastAsia="宋体" w:cs="宋体"/>
          <w:b/>
          <w:bCs/>
          <w:snapToGrid w:val="0"/>
          <w:color w:val="0000FF"/>
          <w:kern w:val="0"/>
          <w:sz w:val="21"/>
          <w:szCs w:val="21"/>
          <w:u w:val="single"/>
          <w:lang w:val="en-US" w:eastAsia="zh-CN"/>
        </w:rPr>
        <w:t>在</w:t>
      </w:r>
      <w:r>
        <w:rPr>
          <w:rFonts w:hint="eastAsia" w:ascii="宋体" w:hAnsi="宋体" w:eastAsia="宋体" w:cs="宋体"/>
          <w:b/>
          <w:bCs/>
          <w:snapToGrid w:val="0"/>
          <w:color w:val="0000FF"/>
          <w:kern w:val="0"/>
          <w:sz w:val="21"/>
          <w:szCs w:val="21"/>
          <w:u w:val="single"/>
          <w:lang w:eastAsia="en-US"/>
        </w:rPr>
        <w:t>事后2天内提交两份。</w:t>
      </w:r>
    </w:p>
    <w:p w14:paraId="3EC3503A">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2.7 使用委托人的财产</w:t>
      </w:r>
    </w:p>
    <w:p w14:paraId="502D8004">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附录B中由委托人无偿提供的房屋、设备的所有权属于：</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1F27F5E9">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监理人应在本合同终止后</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天内移交委托人无偿提供的房屋、设备，移交的时间和方式为：</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59879FCB">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snapToGrid w:val="0"/>
          <w:color w:val="000000"/>
          <w:kern w:val="0"/>
          <w:sz w:val="21"/>
          <w:szCs w:val="21"/>
          <w:lang w:eastAsia="en-US"/>
        </w:rPr>
      </w:pPr>
      <w:r>
        <w:rPr>
          <w:rFonts w:hint="eastAsia" w:ascii="宋体" w:hAnsi="宋体" w:eastAsia="宋体" w:cs="宋体"/>
          <w:b/>
          <w:snapToGrid w:val="0"/>
          <w:color w:val="000000"/>
          <w:kern w:val="0"/>
          <w:sz w:val="21"/>
          <w:szCs w:val="21"/>
          <w:lang w:eastAsia="en-US"/>
        </w:rPr>
        <w:t xml:space="preserve">3. 委托人义务  </w:t>
      </w:r>
    </w:p>
    <w:p w14:paraId="2439194A">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3.4 委托人代表</w:t>
      </w:r>
    </w:p>
    <w:p w14:paraId="4C4D7180">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u w:val="single"/>
          <w:lang w:eastAsia="en-US"/>
        </w:rPr>
      </w:pPr>
      <w:r>
        <w:rPr>
          <w:rFonts w:hint="eastAsia" w:ascii="宋体" w:hAnsi="宋体" w:eastAsia="宋体" w:cs="宋体"/>
          <w:snapToGrid w:val="0"/>
          <w:color w:val="000000"/>
          <w:kern w:val="0"/>
          <w:sz w:val="21"/>
          <w:szCs w:val="21"/>
          <w:lang w:eastAsia="en-US"/>
        </w:rPr>
        <w:t>委托人代表为：</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2E445F0C">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3.6 答复</w:t>
      </w:r>
    </w:p>
    <w:p w14:paraId="1391A115">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委托人同意在</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7</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天内，对监理人书面提交并要求做出决定的事宜给予书面答复。</w:t>
      </w:r>
    </w:p>
    <w:p w14:paraId="5B33902A">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bCs/>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t>4. 违约责任</w:t>
      </w:r>
    </w:p>
    <w:p w14:paraId="7DA8BABB">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4.1 监理人的违约责任</w:t>
      </w:r>
    </w:p>
    <w:p w14:paraId="074DAF6B">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4.1.1监理人赔偿金额按下列方法确定：</w:t>
      </w:r>
    </w:p>
    <w:p w14:paraId="7284100D">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赔偿金＝直接经济损失×正常工作酬金÷工程概算投资额（或建筑安装工程费</w:t>
      </w:r>
      <w:r>
        <w:rPr>
          <w:rFonts w:hint="eastAsia" w:ascii="宋体" w:hAnsi="宋体" w:eastAsia="宋体" w:cs="宋体"/>
          <w:snapToGrid w:val="0"/>
          <w:color w:val="000000"/>
          <w:kern w:val="0"/>
          <w:sz w:val="21"/>
          <w:szCs w:val="21"/>
          <w:lang w:eastAsia="zh-CN"/>
        </w:rPr>
        <w:t>，</w:t>
      </w:r>
      <w:r>
        <w:rPr>
          <w:rFonts w:hint="eastAsia" w:ascii="宋体" w:hAnsi="宋体" w:eastAsia="宋体" w:cs="宋体"/>
          <w:snapToGrid w:val="0"/>
          <w:color w:val="000000"/>
          <w:kern w:val="0"/>
          <w:sz w:val="21"/>
          <w:szCs w:val="21"/>
          <w:lang w:val="en-US" w:eastAsia="zh-CN"/>
        </w:rPr>
        <w:t>但不得超出监理总酬金</w:t>
      </w:r>
      <w:r>
        <w:rPr>
          <w:rFonts w:hint="eastAsia" w:ascii="宋体" w:hAnsi="宋体" w:eastAsia="宋体" w:cs="宋体"/>
          <w:snapToGrid w:val="0"/>
          <w:color w:val="000000"/>
          <w:kern w:val="0"/>
          <w:sz w:val="21"/>
          <w:szCs w:val="21"/>
          <w:lang w:eastAsia="en-US"/>
        </w:rPr>
        <w:t>）</w:t>
      </w:r>
    </w:p>
    <w:p w14:paraId="0258393A">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4.2 委托人的违约责任</w:t>
      </w:r>
    </w:p>
    <w:p w14:paraId="1FCC9ECB">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4.2.3 委托人逾期付款利息按下列方法确定：</w:t>
      </w:r>
    </w:p>
    <w:p w14:paraId="5CBE30E0">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逾期付款利息＝当期应付款总额×银行同期贷款利率×拖延支付天数</w:t>
      </w:r>
    </w:p>
    <w:p w14:paraId="6152C6E8">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t>5. 支付</w:t>
      </w:r>
    </w:p>
    <w:p w14:paraId="5E10E334">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 xml:space="preserve">5.1 </w:t>
      </w:r>
      <w:r>
        <w:rPr>
          <w:rFonts w:hint="eastAsia" w:ascii="宋体" w:hAnsi="宋体" w:eastAsia="宋体" w:cs="宋体"/>
          <w:bCs/>
          <w:snapToGrid w:val="0"/>
          <w:color w:val="000000"/>
          <w:kern w:val="0"/>
          <w:sz w:val="21"/>
          <w:szCs w:val="21"/>
          <w:lang w:eastAsia="en-US"/>
        </w:rPr>
        <w:t>支付货币</w:t>
      </w:r>
    </w:p>
    <w:p w14:paraId="796F6178">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val="en-US" w:eastAsia="zh-CN"/>
        </w:rPr>
      </w:pPr>
      <w:r>
        <w:rPr>
          <w:rFonts w:hint="eastAsia" w:ascii="宋体" w:hAnsi="宋体" w:eastAsia="宋体" w:cs="宋体"/>
          <w:snapToGrid w:val="0"/>
          <w:color w:val="000000"/>
          <w:kern w:val="0"/>
          <w:sz w:val="21"/>
          <w:szCs w:val="21"/>
          <w:lang w:eastAsia="en-US"/>
        </w:rPr>
        <w:t>币种为：</w:t>
      </w:r>
      <w:r>
        <w:rPr>
          <w:rFonts w:hint="eastAsia" w:ascii="宋体" w:hAnsi="宋体" w:eastAsia="宋体" w:cs="宋体"/>
          <w:b/>
          <w:bCs/>
          <w:snapToGrid w:val="0"/>
          <w:color w:val="000000"/>
          <w:kern w:val="0"/>
          <w:sz w:val="21"/>
          <w:szCs w:val="21"/>
          <w:u w:val="single"/>
          <w:lang w:eastAsia="en-US"/>
        </w:rPr>
        <w:t xml:space="preserve"> </w:t>
      </w:r>
      <w:r>
        <w:rPr>
          <w:rFonts w:hint="eastAsia" w:ascii="宋体" w:hAnsi="宋体" w:eastAsia="宋体" w:cs="宋体"/>
          <w:b/>
          <w:bCs/>
          <w:snapToGrid w:val="0"/>
          <w:color w:val="000000"/>
          <w:kern w:val="0"/>
          <w:sz w:val="21"/>
          <w:szCs w:val="21"/>
          <w:u w:val="single"/>
          <w:lang w:val="en-US" w:eastAsia="zh-CN"/>
        </w:rPr>
        <w:t>人民币</w:t>
      </w:r>
      <w:r>
        <w:rPr>
          <w:rFonts w:hint="eastAsia" w:ascii="宋体" w:hAnsi="宋体" w:eastAsia="宋体" w:cs="宋体"/>
          <w:b/>
          <w:bCs/>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，比例为：</w:t>
      </w:r>
      <w:r>
        <w:rPr>
          <w:rFonts w:hint="eastAsia" w:ascii="宋体" w:hAnsi="宋体" w:eastAsia="宋体" w:cs="宋体"/>
          <w:b/>
          <w:bCs/>
          <w:snapToGrid w:val="0"/>
          <w:color w:val="000000"/>
          <w:kern w:val="0"/>
          <w:sz w:val="21"/>
          <w:szCs w:val="21"/>
          <w:u w:val="single"/>
          <w:lang w:eastAsia="en-US"/>
        </w:rPr>
        <w:t xml:space="preserve">  </w:t>
      </w:r>
      <w:r>
        <w:rPr>
          <w:rFonts w:hint="eastAsia" w:ascii="宋体" w:hAnsi="宋体" w:eastAsia="宋体" w:cs="宋体"/>
          <w:b/>
          <w:bCs/>
          <w:snapToGrid w:val="0"/>
          <w:color w:val="000000"/>
          <w:kern w:val="0"/>
          <w:sz w:val="21"/>
          <w:szCs w:val="21"/>
          <w:u w:val="single"/>
          <w:lang w:val="en-US" w:eastAsia="zh-CN"/>
        </w:rPr>
        <w:t>100%</w:t>
      </w:r>
      <w:r>
        <w:rPr>
          <w:rFonts w:hint="eastAsia" w:ascii="宋体" w:hAnsi="宋体" w:eastAsia="宋体" w:cs="宋体"/>
          <w:b/>
          <w:bCs/>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，汇率为：</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 xml:space="preserve">。 </w:t>
      </w:r>
    </w:p>
    <w:p w14:paraId="04682F5E">
      <w:pPr>
        <w:widowControl/>
        <w:kinsoku/>
        <w:overflowPunct w:val="0"/>
        <w:topLinePunct w:val="0"/>
        <w:autoSpaceDE w:val="0"/>
        <w:autoSpaceDN w:val="0"/>
        <w:adjustRightInd w:val="0"/>
        <w:snapToGrid w:val="0"/>
        <w:spacing w:line="360" w:lineRule="auto"/>
        <w:ind w:left="0" w:leftChars="0"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5.3 支付酬金</w:t>
      </w:r>
    </w:p>
    <w:p w14:paraId="5C65DFF1">
      <w:pPr>
        <w:widowControl/>
        <w:kinsoku/>
        <w:overflowPunct w:val="0"/>
        <w:topLinePunct w:val="0"/>
        <w:autoSpaceDE w:val="0"/>
        <w:autoSpaceDN w:val="0"/>
        <w:adjustRightInd w:val="0"/>
        <w:snapToGrid w:val="0"/>
        <w:spacing w:line="24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正常工作酬金的支付：</w:t>
      </w:r>
    </w:p>
    <w:tbl>
      <w:tblPr>
        <w:tblStyle w:val="2"/>
        <w:tblpPr w:leftFromText="180" w:rightFromText="180" w:vertAnchor="text" w:horzAnchor="page" w:tblpX="1780" w:tblpY="488"/>
        <w:tblOverlap w:val="never"/>
        <w:tblW w:w="88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3455"/>
        <w:gridCol w:w="2158"/>
        <w:gridCol w:w="1916"/>
      </w:tblGrid>
      <w:tr w14:paraId="22FC3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286" w:type="dxa"/>
            <w:noWrap w:val="0"/>
            <w:vAlign w:val="center"/>
          </w:tcPr>
          <w:p w14:paraId="65EB3491">
            <w:pPr>
              <w:bidi w:val="0"/>
              <w:jc w:val="center"/>
              <w:rPr>
                <w:rFonts w:hint="eastAsia" w:ascii="宋体" w:hAnsi="宋体" w:eastAsia="宋体" w:cs="宋体"/>
                <w:sz w:val="21"/>
                <w:szCs w:val="21"/>
              </w:rPr>
            </w:pPr>
            <w:r>
              <w:rPr>
                <w:rFonts w:hint="eastAsia" w:ascii="宋体" w:hAnsi="宋体" w:eastAsia="宋体" w:cs="宋体"/>
                <w:sz w:val="21"/>
                <w:szCs w:val="21"/>
              </w:rPr>
              <w:t>支付次数</w:t>
            </w:r>
          </w:p>
        </w:tc>
        <w:tc>
          <w:tcPr>
            <w:tcW w:w="3455" w:type="dxa"/>
            <w:noWrap w:val="0"/>
            <w:vAlign w:val="center"/>
          </w:tcPr>
          <w:p w14:paraId="13D42103">
            <w:pPr>
              <w:bidi w:val="0"/>
              <w:jc w:val="center"/>
              <w:rPr>
                <w:rFonts w:hint="eastAsia" w:ascii="宋体" w:hAnsi="宋体" w:eastAsia="宋体" w:cs="宋体"/>
                <w:sz w:val="21"/>
                <w:szCs w:val="21"/>
              </w:rPr>
            </w:pPr>
            <w:r>
              <w:rPr>
                <w:rFonts w:hint="eastAsia" w:ascii="宋体" w:hAnsi="宋体" w:eastAsia="宋体" w:cs="宋体"/>
                <w:sz w:val="21"/>
                <w:szCs w:val="21"/>
              </w:rPr>
              <w:t>支付时间</w:t>
            </w:r>
          </w:p>
        </w:tc>
        <w:tc>
          <w:tcPr>
            <w:tcW w:w="2158" w:type="dxa"/>
            <w:noWrap w:val="0"/>
            <w:vAlign w:val="center"/>
          </w:tcPr>
          <w:p w14:paraId="28A868F6">
            <w:pPr>
              <w:bidi w:val="0"/>
              <w:jc w:val="center"/>
              <w:rPr>
                <w:rFonts w:hint="eastAsia" w:ascii="宋体" w:hAnsi="宋体" w:eastAsia="宋体" w:cs="宋体"/>
                <w:sz w:val="21"/>
                <w:szCs w:val="21"/>
              </w:rPr>
            </w:pPr>
            <w:r>
              <w:rPr>
                <w:rFonts w:hint="eastAsia" w:ascii="宋体" w:hAnsi="宋体" w:eastAsia="宋体" w:cs="宋体"/>
                <w:sz w:val="21"/>
                <w:szCs w:val="21"/>
              </w:rPr>
              <w:t>支付比例</w:t>
            </w:r>
          </w:p>
        </w:tc>
        <w:tc>
          <w:tcPr>
            <w:tcW w:w="1916" w:type="dxa"/>
            <w:noWrap w:val="0"/>
            <w:vAlign w:val="center"/>
          </w:tcPr>
          <w:p w14:paraId="7DC5CF9B">
            <w:pPr>
              <w:bidi w:val="0"/>
              <w:jc w:val="center"/>
              <w:rPr>
                <w:rFonts w:hint="eastAsia" w:ascii="宋体" w:hAnsi="宋体" w:eastAsia="宋体" w:cs="宋体"/>
                <w:sz w:val="21"/>
                <w:szCs w:val="21"/>
              </w:rPr>
            </w:pPr>
            <w:r>
              <w:rPr>
                <w:rFonts w:hint="eastAsia" w:ascii="宋体" w:hAnsi="宋体" w:eastAsia="宋体" w:cs="宋体"/>
                <w:sz w:val="21"/>
                <w:szCs w:val="21"/>
              </w:rPr>
              <w:t>支付金额（万元）</w:t>
            </w:r>
          </w:p>
        </w:tc>
      </w:tr>
      <w:tr w14:paraId="3594A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286" w:type="dxa"/>
            <w:noWrap w:val="0"/>
            <w:vAlign w:val="center"/>
          </w:tcPr>
          <w:p w14:paraId="089E20D3">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预</w:t>
            </w:r>
            <w:r>
              <w:rPr>
                <w:rFonts w:hint="eastAsia" w:ascii="宋体" w:hAnsi="宋体" w:eastAsia="宋体" w:cs="宋体"/>
                <w:sz w:val="21"/>
                <w:szCs w:val="21"/>
              </w:rPr>
              <w:t>付款</w:t>
            </w:r>
          </w:p>
        </w:tc>
        <w:tc>
          <w:tcPr>
            <w:tcW w:w="3455" w:type="dxa"/>
            <w:noWrap w:val="0"/>
            <w:vAlign w:val="center"/>
          </w:tcPr>
          <w:p w14:paraId="362FCB0E">
            <w:pPr>
              <w:bidi w:val="0"/>
              <w:jc w:val="center"/>
              <w:rPr>
                <w:rFonts w:hint="eastAsia" w:ascii="宋体" w:hAnsi="宋体" w:eastAsia="宋体" w:cs="宋体"/>
                <w:sz w:val="21"/>
                <w:szCs w:val="21"/>
              </w:rPr>
            </w:pPr>
            <w:r>
              <w:rPr>
                <w:rFonts w:hint="eastAsia" w:ascii="宋体" w:hAnsi="宋体" w:eastAsia="宋体" w:cs="宋体"/>
                <w:sz w:val="21"/>
                <w:szCs w:val="21"/>
              </w:rPr>
              <w:t>合同签订</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人员进场</w:t>
            </w:r>
            <w:r>
              <w:rPr>
                <w:rFonts w:hint="eastAsia" w:ascii="宋体" w:hAnsi="宋体" w:eastAsia="宋体" w:cs="宋体"/>
                <w:sz w:val="21"/>
                <w:szCs w:val="21"/>
              </w:rPr>
              <w:t>后</w:t>
            </w:r>
            <w:r>
              <w:rPr>
                <w:rFonts w:hint="eastAsia" w:ascii="宋体" w:hAnsi="宋体" w:eastAsia="宋体" w:cs="宋体"/>
                <w:sz w:val="21"/>
                <w:szCs w:val="21"/>
                <w:lang w:val="en-US" w:eastAsia="zh-CN"/>
              </w:rPr>
              <w:t>30</w:t>
            </w:r>
            <w:r>
              <w:rPr>
                <w:rFonts w:hint="eastAsia" w:ascii="宋体" w:hAnsi="宋体" w:eastAsia="宋体" w:cs="宋体"/>
                <w:sz w:val="21"/>
                <w:szCs w:val="21"/>
              </w:rPr>
              <w:t>天内</w:t>
            </w:r>
          </w:p>
        </w:tc>
        <w:tc>
          <w:tcPr>
            <w:tcW w:w="2158" w:type="dxa"/>
            <w:noWrap w:val="0"/>
            <w:vAlign w:val="center"/>
          </w:tcPr>
          <w:p w14:paraId="7BCD59F1">
            <w:pPr>
              <w:bidi w:val="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支付合同总金额的 10.00%</w:t>
            </w:r>
          </w:p>
        </w:tc>
        <w:tc>
          <w:tcPr>
            <w:tcW w:w="1916" w:type="dxa"/>
            <w:noWrap w:val="0"/>
            <w:vAlign w:val="center"/>
          </w:tcPr>
          <w:p w14:paraId="3904F10F">
            <w:pPr>
              <w:bidi w:val="0"/>
              <w:jc w:val="center"/>
              <w:rPr>
                <w:rFonts w:hint="eastAsia" w:ascii="宋体" w:hAnsi="宋体" w:eastAsia="宋体" w:cs="宋体"/>
                <w:sz w:val="21"/>
                <w:szCs w:val="21"/>
              </w:rPr>
            </w:pPr>
          </w:p>
        </w:tc>
      </w:tr>
      <w:tr w14:paraId="4CF90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286" w:type="dxa"/>
            <w:noWrap w:val="0"/>
            <w:vAlign w:val="center"/>
          </w:tcPr>
          <w:p w14:paraId="0FE646BF">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完工支付</w:t>
            </w:r>
          </w:p>
        </w:tc>
        <w:tc>
          <w:tcPr>
            <w:tcW w:w="3455" w:type="dxa"/>
            <w:noWrap w:val="0"/>
            <w:vAlign w:val="center"/>
          </w:tcPr>
          <w:p w14:paraId="0909407A">
            <w:pPr>
              <w:bidi w:val="0"/>
              <w:jc w:val="center"/>
              <w:rPr>
                <w:rFonts w:hint="default" w:ascii="宋体" w:hAnsi="宋体" w:eastAsia="宋体" w:cs="宋体"/>
                <w:sz w:val="21"/>
                <w:szCs w:val="21"/>
                <w:lang w:val="en-US"/>
              </w:rPr>
            </w:pPr>
            <w:r>
              <w:rPr>
                <w:rFonts w:hint="eastAsia" w:ascii="宋体" w:hAnsi="宋体" w:eastAsia="宋体" w:cs="宋体"/>
                <w:sz w:val="21"/>
                <w:szCs w:val="21"/>
                <w:lang w:val="en-US" w:eastAsia="zh-CN"/>
              </w:rPr>
              <w:t>竣工验收，资料移交</w:t>
            </w:r>
          </w:p>
        </w:tc>
        <w:tc>
          <w:tcPr>
            <w:tcW w:w="2158" w:type="dxa"/>
            <w:noWrap w:val="0"/>
            <w:vAlign w:val="center"/>
          </w:tcPr>
          <w:p w14:paraId="08DFA599">
            <w:pPr>
              <w:bidi w:val="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支付合同总金额的 70.00%</w:t>
            </w:r>
          </w:p>
        </w:tc>
        <w:tc>
          <w:tcPr>
            <w:tcW w:w="1916" w:type="dxa"/>
            <w:noWrap w:val="0"/>
            <w:vAlign w:val="center"/>
          </w:tcPr>
          <w:p w14:paraId="706AF78B">
            <w:pPr>
              <w:bidi w:val="0"/>
              <w:jc w:val="center"/>
              <w:rPr>
                <w:rFonts w:hint="eastAsia" w:ascii="宋体" w:hAnsi="宋体" w:eastAsia="宋体" w:cs="宋体"/>
                <w:sz w:val="21"/>
                <w:szCs w:val="21"/>
              </w:rPr>
            </w:pPr>
          </w:p>
        </w:tc>
      </w:tr>
      <w:tr w14:paraId="31EBC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286" w:type="dxa"/>
            <w:noWrap w:val="0"/>
            <w:vAlign w:val="center"/>
          </w:tcPr>
          <w:p w14:paraId="7DBDC167">
            <w:pPr>
              <w:bidi w:val="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结算支付</w:t>
            </w:r>
          </w:p>
        </w:tc>
        <w:tc>
          <w:tcPr>
            <w:tcW w:w="3455" w:type="dxa"/>
            <w:noWrap w:val="0"/>
            <w:vAlign w:val="center"/>
          </w:tcPr>
          <w:p w14:paraId="3495E241">
            <w:pPr>
              <w:bidi w:val="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监理人配合委托人完成工程结算后</w:t>
            </w:r>
          </w:p>
        </w:tc>
        <w:tc>
          <w:tcPr>
            <w:tcW w:w="2158" w:type="dxa"/>
            <w:noWrap w:val="0"/>
            <w:vAlign w:val="center"/>
          </w:tcPr>
          <w:p w14:paraId="4A6E8017">
            <w:pPr>
              <w:bidi w:val="0"/>
              <w:jc w:val="center"/>
              <w:rPr>
                <w:rFonts w:hint="default" w:ascii="宋体" w:hAnsi="宋体" w:eastAsia="宋体" w:cs="宋体"/>
                <w:sz w:val="21"/>
                <w:szCs w:val="21"/>
                <w:lang w:val="en-US" w:eastAsia="zh-CN"/>
              </w:rPr>
            </w:pPr>
            <w:r>
              <w:rPr>
                <w:rFonts w:ascii="仿宋_GB2312" w:hAnsi="仿宋_GB2312" w:eastAsia="仿宋_GB2312" w:cs="仿宋_GB2312"/>
              </w:rPr>
              <w:t xml:space="preserve">支付合同总金额的 </w:t>
            </w:r>
            <w:r>
              <w:rPr>
                <w:rFonts w:hint="eastAsia" w:ascii="仿宋_GB2312" w:hAnsi="仿宋_GB2312" w:eastAsia="仿宋_GB2312" w:cs="仿宋_GB2312"/>
                <w:lang w:val="en-US" w:eastAsia="zh-CN"/>
              </w:rPr>
              <w:t>17</w:t>
            </w:r>
            <w:r>
              <w:rPr>
                <w:rFonts w:ascii="仿宋_GB2312" w:hAnsi="仿宋_GB2312" w:eastAsia="仿宋_GB2312" w:cs="仿宋_GB2312"/>
              </w:rPr>
              <w:t>.00%</w:t>
            </w:r>
          </w:p>
        </w:tc>
        <w:tc>
          <w:tcPr>
            <w:tcW w:w="1916" w:type="dxa"/>
            <w:noWrap w:val="0"/>
            <w:vAlign w:val="center"/>
          </w:tcPr>
          <w:p w14:paraId="634E33C7">
            <w:pPr>
              <w:bidi w:val="0"/>
              <w:jc w:val="center"/>
              <w:rPr>
                <w:rFonts w:hint="eastAsia" w:ascii="宋体" w:hAnsi="宋体" w:eastAsia="宋体" w:cs="宋体"/>
                <w:sz w:val="21"/>
                <w:szCs w:val="21"/>
              </w:rPr>
            </w:pPr>
          </w:p>
        </w:tc>
      </w:tr>
      <w:tr w14:paraId="1DB2E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1286" w:type="dxa"/>
            <w:noWrap w:val="0"/>
            <w:vAlign w:val="center"/>
          </w:tcPr>
          <w:p w14:paraId="58929B2C">
            <w:pPr>
              <w:bidi w:val="0"/>
              <w:jc w:val="center"/>
              <w:rPr>
                <w:rFonts w:hint="eastAsia" w:ascii="宋体" w:hAnsi="宋体" w:eastAsia="宋体" w:cs="宋体"/>
                <w:sz w:val="21"/>
                <w:szCs w:val="21"/>
              </w:rPr>
            </w:pPr>
            <w:r>
              <w:rPr>
                <w:rFonts w:hint="eastAsia" w:ascii="宋体" w:hAnsi="宋体" w:eastAsia="宋体" w:cs="宋体"/>
                <w:sz w:val="21"/>
                <w:szCs w:val="21"/>
              </w:rPr>
              <w:t>最后付款</w:t>
            </w:r>
          </w:p>
        </w:tc>
        <w:tc>
          <w:tcPr>
            <w:tcW w:w="3455" w:type="dxa"/>
            <w:noWrap w:val="0"/>
            <w:vAlign w:val="center"/>
          </w:tcPr>
          <w:p w14:paraId="3695C2AA">
            <w:pPr>
              <w:bidi w:val="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质保期满后</w:t>
            </w:r>
          </w:p>
        </w:tc>
        <w:tc>
          <w:tcPr>
            <w:tcW w:w="2158" w:type="dxa"/>
            <w:noWrap w:val="0"/>
            <w:vAlign w:val="center"/>
          </w:tcPr>
          <w:p w14:paraId="0021F7BF">
            <w:pPr>
              <w:bidi w:val="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3%余款一次性付清</w:t>
            </w:r>
          </w:p>
        </w:tc>
        <w:tc>
          <w:tcPr>
            <w:tcW w:w="1916" w:type="dxa"/>
            <w:noWrap w:val="0"/>
            <w:vAlign w:val="center"/>
          </w:tcPr>
          <w:p w14:paraId="6747BCA8">
            <w:pPr>
              <w:bidi w:val="0"/>
              <w:jc w:val="center"/>
              <w:rPr>
                <w:rFonts w:hint="eastAsia" w:ascii="宋体" w:hAnsi="宋体" w:eastAsia="宋体" w:cs="宋体"/>
                <w:sz w:val="21"/>
                <w:szCs w:val="21"/>
              </w:rPr>
            </w:pPr>
          </w:p>
        </w:tc>
      </w:tr>
    </w:tbl>
    <w:p w14:paraId="321EEF8B">
      <w:pPr>
        <w:widowControl/>
        <w:kinsoku/>
        <w:overflowPunct w:val="0"/>
        <w:topLinePunct w:val="0"/>
        <w:autoSpaceDE w:val="0"/>
        <w:autoSpaceDN w:val="0"/>
        <w:adjustRightInd w:val="0"/>
        <w:snapToGrid w:val="0"/>
        <w:spacing w:line="360" w:lineRule="auto"/>
        <w:jc w:val="left"/>
        <w:textAlignment w:val="baseline"/>
        <w:rPr>
          <w:rFonts w:hint="eastAsia" w:ascii="宋体" w:hAnsi="宋体" w:eastAsia="宋体" w:cs="宋体"/>
          <w:bCs/>
          <w:snapToGrid w:val="0"/>
          <w:color w:val="000000"/>
          <w:kern w:val="0"/>
          <w:sz w:val="21"/>
          <w:szCs w:val="21"/>
          <w:lang w:eastAsia="en-US"/>
        </w:rPr>
      </w:pPr>
    </w:p>
    <w:p w14:paraId="1599AF92">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
          <w:bCs/>
          <w:snapToGrid w:val="0"/>
          <w:color w:val="FF0000"/>
          <w:kern w:val="0"/>
          <w:sz w:val="21"/>
          <w:szCs w:val="21"/>
          <w:lang w:eastAsia="en-US"/>
        </w:rPr>
      </w:pPr>
      <w:r>
        <w:rPr>
          <w:rFonts w:hint="eastAsia" w:ascii="宋体" w:hAnsi="宋体" w:eastAsia="宋体" w:cs="宋体"/>
          <w:bCs/>
          <w:snapToGrid w:val="0"/>
          <w:color w:val="000000"/>
          <w:kern w:val="0"/>
          <w:sz w:val="21"/>
          <w:szCs w:val="21"/>
          <w:lang w:eastAsia="en-US"/>
        </w:rPr>
        <w:t>6</w:t>
      </w:r>
      <w:r>
        <w:rPr>
          <w:rFonts w:hint="eastAsia" w:ascii="宋体" w:hAnsi="宋体" w:eastAsia="宋体" w:cs="宋体"/>
          <w:b/>
          <w:bCs/>
          <w:snapToGrid w:val="0"/>
          <w:color w:val="000000"/>
          <w:kern w:val="0"/>
          <w:sz w:val="21"/>
          <w:szCs w:val="21"/>
          <w:lang w:eastAsia="en-US"/>
        </w:rPr>
        <w:t>. 合同生效、变更、暂停、解除与终止</w:t>
      </w:r>
    </w:p>
    <w:p w14:paraId="365A86D6">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6.1 生效</w:t>
      </w:r>
    </w:p>
    <w:p w14:paraId="01E2E4B3">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本合同生效条件：</w:t>
      </w:r>
      <w:r>
        <w:rPr>
          <w:rFonts w:hint="eastAsia" w:ascii="宋体" w:hAnsi="宋体" w:eastAsia="宋体" w:cs="宋体"/>
          <w:b/>
          <w:bCs/>
          <w:snapToGrid w:val="0"/>
          <w:color w:val="000000"/>
          <w:kern w:val="0"/>
          <w:sz w:val="21"/>
          <w:szCs w:val="21"/>
          <w:u w:val="single"/>
          <w:lang w:eastAsia="en-US"/>
        </w:rPr>
        <w:t xml:space="preserve"> 双方签字盖章后本合同生效 </w:t>
      </w:r>
      <w:r>
        <w:rPr>
          <w:rFonts w:hint="eastAsia" w:ascii="宋体" w:hAnsi="宋体" w:eastAsia="宋体" w:cs="宋体"/>
          <w:snapToGrid w:val="0"/>
          <w:color w:val="000000"/>
          <w:kern w:val="0"/>
          <w:sz w:val="21"/>
          <w:szCs w:val="21"/>
          <w:lang w:eastAsia="en-US"/>
        </w:rPr>
        <w:t>。</w:t>
      </w:r>
    </w:p>
    <w:p w14:paraId="0434DC04">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6.2 变更</w:t>
      </w:r>
    </w:p>
    <w:p w14:paraId="7AB99C54">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6.2.2 除不可抗力外，因非监理人原因导致本合同期限延长时，附加工作酬金按下列方法确定：</w:t>
      </w:r>
    </w:p>
    <w:p w14:paraId="0DF40C09">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附加工作酬金=本合同期限延长时间（天）×正常工作酬金÷协议书约定的监理与相关服务期限（天）</w:t>
      </w:r>
    </w:p>
    <w:p w14:paraId="72F6A1CA">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6.2.3</w:t>
      </w:r>
      <w:r>
        <w:rPr>
          <w:rFonts w:hint="eastAsia" w:ascii="宋体" w:hAnsi="宋体" w:eastAsia="宋体" w:cs="宋体"/>
          <w:snapToGrid w:val="0"/>
          <w:color w:val="000000"/>
          <w:kern w:val="0"/>
          <w:sz w:val="21"/>
          <w:szCs w:val="21"/>
          <w:lang w:val="en-US" w:eastAsia="zh-CN"/>
        </w:rPr>
        <w:t xml:space="preserve"> </w:t>
      </w:r>
      <w:r>
        <w:rPr>
          <w:rFonts w:hint="eastAsia" w:ascii="宋体" w:hAnsi="宋体" w:eastAsia="宋体" w:cs="宋体"/>
          <w:snapToGrid w:val="0"/>
          <w:color w:val="000000"/>
          <w:kern w:val="0"/>
          <w:sz w:val="21"/>
          <w:szCs w:val="21"/>
          <w:lang w:eastAsia="en-US"/>
        </w:rPr>
        <w:t>附加工作酬金按下列方法确定：</w:t>
      </w:r>
    </w:p>
    <w:p w14:paraId="302A3C8B">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附加工作酬金=善后工作及恢复服务的准备工作时间（天）×正常工作酬金÷协议书约定的监理与相关服务期限（天）</w:t>
      </w:r>
    </w:p>
    <w:p w14:paraId="4F77E5F1">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 xml:space="preserve">6.2.5 正常工作酬金增加额按下列方法确定： </w:t>
      </w:r>
    </w:p>
    <w:p w14:paraId="67576169">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正常工作酬金增加额=工程投资额或建筑安装工程费增加额×正常工作酬金÷工程概算投资额（或建筑安装工程费）</w:t>
      </w:r>
    </w:p>
    <w:p w14:paraId="6B42DB9A">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6.2.6 因工程规模、监理范围的变化导致监理人的正常工作量减少时，按减少工作量的比例从协议书约定的正常工作酬金中扣减相同比例的酬金。</w:t>
      </w:r>
    </w:p>
    <w:p w14:paraId="59562874">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t>7. 争议解决</w:t>
      </w:r>
    </w:p>
    <w:p w14:paraId="572B3099">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 xml:space="preserve">7.2 </w:t>
      </w:r>
      <w:r>
        <w:rPr>
          <w:rFonts w:hint="eastAsia" w:ascii="宋体" w:hAnsi="宋体" w:eastAsia="宋体" w:cs="宋体"/>
          <w:bCs/>
          <w:snapToGrid w:val="0"/>
          <w:color w:val="000000"/>
          <w:kern w:val="0"/>
          <w:sz w:val="21"/>
          <w:szCs w:val="21"/>
          <w:lang w:eastAsia="en-US"/>
        </w:rPr>
        <w:t>调解</w:t>
      </w:r>
    </w:p>
    <w:p w14:paraId="515F13F3">
      <w:pPr>
        <w:widowControl/>
        <w:kinsoku/>
        <w:overflowPunct w:val="0"/>
        <w:topLinePunct w:val="0"/>
        <w:autoSpaceDE w:val="0"/>
        <w:autoSpaceDN w:val="0"/>
        <w:adjustRightInd w:val="0"/>
        <w:snapToGrid w:val="0"/>
        <w:spacing w:line="360" w:lineRule="auto"/>
        <w:ind w:firstLine="411" w:firstLineChars="196"/>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本合同争议进行调解时，可提交</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lang w:eastAsia="en-US"/>
        </w:rPr>
        <w:t>进行调解。</w:t>
      </w:r>
    </w:p>
    <w:p w14:paraId="241EC9E0">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 xml:space="preserve">7.3 </w:t>
      </w:r>
      <w:r>
        <w:rPr>
          <w:rFonts w:hint="eastAsia" w:ascii="宋体" w:hAnsi="宋体" w:eastAsia="宋体" w:cs="宋体"/>
          <w:bCs/>
          <w:snapToGrid w:val="0"/>
          <w:color w:val="000000"/>
          <w:kern w:val="0"/>
          <w:sz w:val="21"/>
          <w:szCs w:val="21"/>
          <w:lang w:eastAsia="en-US"/>
        </w:rPr>
        <w:t>仲裁或诉讼</w:t>
      </w:r>
    </w:p>
    <w:p w14:paraId="5219BDEC">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合同争议的最终解决方式为下列第</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eastAsia="zh-CN"/>
        </w:rPr>
        <w:t>（</w:t>
      </w:r>
      <w:r>
        <w:rPr>
          <w:rFonts w:hint="eastAsia" w:ascii="宋体" w:hAnsi="宋体" w:eastAsia="宋体" w:cs="宋体"/>
          <w:snapToGrid w:val="0"/>
          <w:color w:val="000000"/>
          <w:kern w:val="0"/>
          <w:sz w:val="21"/>
          <w:szCs w:val="21"/>
          <w:u w:val="single"/>
          <w:lang w:val="en-US" w:eastAsia="zh-CN"/>
        </w:rPr>
        <w:t>2</w:t>
      </w:r>
      <w:r>
        <w:rPr>
          <w:rFonts w:hint="eastAsia" w:ascii="宋体" w:hAnsi="宋体" w:eastAsia="宋体" w:cs="宋体"/>
          <w:snapToGrid w:val="0"/>
          <w:color w:val="000000"/>
          <w:kern w:val="0"/>
          <w:sz w:val="21"/>
          <w:szCs w:val="21"/>
          <w:u w:val="single"/>
          <w:lang w:eastAsia="zh-CN"/>
        </w:rPr>
        <w:t>）</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种方式：</w:t>
      </w:r>
    </w:p>
    <w:p w14:paraId="194F1B54">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（1）提请</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仲裁委员会进行仲裁。</w:t>
      </w:r>
    </w:p>
    <w:p w14:paraId="528415AE">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（2）向</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临潼区</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人民法院提起诉讼。</w:t>
      </w:r>
    </w:p>
    <w:p w14:paraId="5A35952A">
      <w:pPr>
        <w:widowControl/>
        <w:kinsoku/>
        <w:overflowPunct w:val="0"/>
        <w:topLinePunct w:val="0"/>
        <w:autoSpaceDE w:val="0"/>
        <w:autoSpaceDN w:val="0"/>
        <w:adjustRightInd w:val="0"/>
        <w:snapToGrid w:val="0"/>
        <w:spacing w:line="360" w:lineRule="auto"/>
        <w:ind w:firstLine="422" w:firstLineChars="200"/>
        <w:jc w:val="left"/>
        <w:textAlignment w:val="baseline"/>
        <w:rPr>
          <w:rFonts w:hint="eastAsia" w:ascii="宋体" w:hAnsi="宋体" w:eastAsia="宋体" w:cs="宋体"/>
          <w:b/>
          <w:bCs/>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t>8. 其他</w:t>
      </w:r>
    </w:p>
    <w:p w14:paraId="701EAC9A">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bCs/>
          <w:snapToGrid w:val="0"/>
          <w:color w:val="000000"/>
          <w:kern w:val="0"/>
          <w:sz w:val="21"/>
          <w:szCs w:val="21"/>
          <w:lang w:eastAsia="en-US"/>
        </w:rPr>
        <w:t>8.2 检测费用</w:t>
      </w:r>
    </w:p>
    <w:p w14:paraId="24A4C853">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bCs/>
          <w:snapToGrid w:val="0"/>
          <w:color w:val="000000"/>
          <w:kern w:val="0"/>
          <w:sz w:val="21"/>
          <w:szCs w:val="21"/>
          <w:lang w:eastAsia="en-US"/>
        </w:rPr>
        <w:t>委托人应在检测工作完成后</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bCs/>
          <w:snapToGrid w:val="0"/>
          <w:color w:val="000000"/>
          <w:kern w:val="0"/>
          <w:sz w:val="21"/>
          <w:szCs w:val="21"/>
          <w:lang w:eastAsia="en-US"/>
        </w:rPr>
        <w:t>天内支付检测费用。</w:t>
      </w:r>
    </w:p>
    <w:p w14:paraId="536C9092">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bCs/>
          <w:snapToGrid w:val="0"/>
          <w:color w:val="000000"/>
          <w:kern w:val="0"/>
          <w:sz w:val="21"/>
          <w:szCs w:val="21"/>
          <w:lang w:eastAsia="en-US"/>
        </w:rPr>
        <w:t>8.3 咨询费用</w:t>
      </w:r>
    </w:p>
    <w:p w14:paraId="5BAF565D">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bCs/>
          <w:snapToGrid w:val="0"/>
          <w:color w:val="000000"/>
          <w:kern w:val="0"/>
          <w:sz w:val="21"/>
          <w:szCs w:val="21"/>
          <w:lang w:eastAsia="en-US"/>
        </w:rPr>
        <w:t>委托人应在咨询工作完成后</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bCs/>
          <w:snapToGrid w:val="0"/>
          <w:color w:val="000000"/>
          <w:kern w:val="0"/>
          <w:sz w:val="21"/>
          <w:szCs w:val="21"/>
          <w:lang w:eastAsia="en-US"/>
        </w:rPr>
        <w:t>天内支付咨询费用。</w:t>
      </w:r>
    </w:p>
    <w:p w14:paraId="0192F9CD">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8.4 奖励</w:t>
      </w:r>
    </w:p>
    <w:p w14:paraId="4AE66B88">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合理化建议的奖励金额按下列方法确定为：</w:t>
      </w:r>
    </w:p>
    <w:p w14:paraId="1E497E97">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奖励金额＝工程投资节省额×奖励金额的比率；</w:t>
      </w:r>
    </w:p>
    <w:p w14:paraId="57D9A082">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奖励金额的比率为</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2610D415">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8.6 保密</w:t>
      </w:r>
    </w:p>
    <w:p w14:paraId="20A700F5">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u w:val="single"/>
          <w:lang w:eastAsia="en-US"/>
        </w:rPr>
      </w:pPr>
      <w:r>
        <w:rPr>
          <w:rFonts w:hint="eastAsia" w:ascii="宋体" w:hAnsi="宋体" w:eastAsia="宋体" w:cs="宋体"/>
          <w:snapToGrid w:val="0"/>
          <w:color w:val="000000"/>
          <w:kern w:val="0"/>
          <w:sz w:val="21"/>
          <w:szCs w:val="21"/>
          <w:lang w:eastAsia="en-US"/>
        </w:rPr>
        <w:t>委托人申明的保密事项和期限：</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20B27494">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u w:val="single"/>
          <w:lang w:eastAsia="en-US"/>
        </w:rPr>
      </w:pPr>
      <w:r>
        <w:rPr>
          <w:rFonts w:hint="eastAsia" w:ascii="宋体" w:hAnsi="宋体" w:eastAsia="宋体" w:cs="宋体"/>
          <w:snapToGrid w:val="0"/>
          <w:color w:val="000000"/>
          <w:kern w:val="0"/>
          <w:sz w:val="21"/>
          <w:szCs w:val="21"/>
          <w:lang w:eastAsia="en-US"/>
        </w:rPr>
        <w:t>监理人申明的保密事项和期限：</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7D894E6A">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u w:val="single"/>
          <w:lang w:eastAsia="en-US"/>
        </w:rPr>
      </w:pPr>
      <w:r>
        <w:rPr>
          <w:rFonts w:hint="eastAsia" w:ascii="宋体" w:hAnsi="宋体" w:eastAsia="宋体" w:cs="宋体"/>
          <w:snapToGrid w:val="0"/>
          <w:color w:val="000000"/>
          <w:kern w:val="0"/>
          <w:sz w:val="21"/>
          <w:szCs w:val="21"/>
          <w:lang w:eastAsia="en-US"/>
        </w:rPr>
        <w:t>第三方申明的保密事项和期限：</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3C87958D">
      <w:pPr>
        <w:widowControl/>
        <w:kinsoku/>
        <w:overflowPunct w:val="0"/>
        <w:topLinePunct w:val="0"/>
        <w:autoSpaceDE w:val="0"/>
        <w:autoSpaceDN w:val="0"/>
        <w:adjustRightInd w:val="0"/>
        <w:snapToGrid w:val="0"/>
        <w:spacing w:line="360" w:lineRule="auto"/>
        <w:ind w:firstLine="415" w:firstLineChars="198"/>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8.8</w:t>
      </w:r>
      <w:r>
        <w:rPr>
          <w:rFonts w:hint="eastAsia" w:ascii="宋体" w:hAnsi="宋体" w:eastAsia="宋体" w:cs="宋体"/>
          <w:bCs/>
          <w:snapToGrid w:val="0"/>
          <w:color w:val="000000"/>
          <w:kern w:val="0"/>
          <w:sz w:val="21"/>
          <w:szCs w:val="21"/>
          <w:lang w:eastAsia="en-US"/>
        </w:rPr>
        <w:t>著作权</w:t>
      </w:r>
    </w:p>
    <w:p w14:paraId="3BDF19DB">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监理人在本合同履行期间及本合同终止后两年内出版涉及本工程的有关监理与相关服务的资料的限制条件：</w:t>
      </w:r>
    </w:p>
    <w:p w14:paraId="211708E1">
      <w:pPr>
        <w:widowControl/>
        <w:kinsoku/>
        <w:overflowPunct w:val="0"/>
        <w:topLinePunct w:val="0"/>
        <w:autoSpaceDE w:val="0"/>
        <w:autoSpaceDN w:val="0"/>
        <w:adjustRightInd w:val="0"/>
        <w:snapToGrid w:val="0"/>
        <w:spacing w:before="156" w:beforeLines="50" w:after="156" w:afterLines="50"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497FE37B">
      <w:pPr>
        <w:widowControl/>
        <w:kinsoku/>
        <w:overflowPunct w:val="0"/>
        <w:topLinePunct w:val="0"/>
        <w:autoSpaceDE w:val="0"/>
        <w:autoSpaceDN w:val="0"/>
        <w:adjustRightInd w:val="0"/>
        <w:snapToGrid w:val="0"/>
        <w:spacing w:before="156" w:beforeLines="50" w:after="156" w:afterLines="50"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9. 补充条款</w:t>
      </w:r>
    </w:p>
    <w:p w14:paraId="4C5BEBB9">
      <w:pPr>
        <w:widowControl/>
        <w:kinsoku/>
        <w:overflowPunct w:val="0"/>
        <w:topLinePunct w:val="0"/>
        <w:autoSpaceDE w:val="0"/>
        <w:autoSpaceDN w:val="0"/>
        <w:adjustRightInd w:val="0"/>
        <w:snapToGrid w:val="0"/>
        <w:spacing w:before="156" w:beforeLines="50" w:after="156" w:afterLines="50"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538567C3">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br w:type="page"/>
      </w:r>
    </w:p>
    <w:p w14:paraId="38F8666E">
      <w:pPr>
        <w:widowControl/>
        <w:kinsoku/>
        <w:overflowPunct w:val="0"/>
        <w:topLinePunct w:val="0"/>
        <w:autoSpaceDE w:val="0"/>
        <w:autoSpaceDN w:val="0"/>
        <w:adjustRightInd w:val="0"/>
        <w:snapToGrid w:val="0"/>
        <w:spacing w:before="156" w:beforeLines="50" w:after="156" w:afterLines="50"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p>
    <w:p w14:paraId="6E9D72EB">
      <w:pPr>
        <w:widowControl/>
        <w:kinsoku/>
        <w:overflowPunct w:val="0"/>
        <w:topLinePunct w:val="0"/>
        <w:autoSpaceDE w:val="0"/>
        <w:autoSpaceDN w:val="0"/>
        <w:bidi w:val="0"/>
        <w:adjustRightInd w:val="0"/>
        <w:snapToGrid w:val="0"/>
        <w:spacing w:line="360" w:lineRule="auto"/>
        <w:ind w:firstLine="422" w:firstLineChars="200"/>
        <w:jc w:val="center"/>
        <w:textAlignment w:val="baseline"/>
        <w:rPr>
          <w:rFonts w:hint="eastAsia" w:ascii="宋体" w:hAnsi="宋体" w:eastAsia="宋体" w:cs="宋体"/>
          <w:b/>
          <w:bCs/>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t>附录A  相关服务的范围和内容</w:t>
      </w:r>
    </w:p>
    <w:p w14:paraId="2D713F59">
      <w:pPr>
        <w:widowControl/>
        <w:kinsoku/>
        <w:overflowPunct w:val="0"/>
        <w:topLinePunct w:val="0"/>
        <w:autoSpaceDE w:val="0"/>
        <w:autoSpaceDN w:val="0"/>
        <w:adjustRightInd w:val="0"/>
        <w:snapToGrid w:val="0"/>
        <w:spacing w:before="156" w:beforeLines="50" w:after="156" w:afterLines="50"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A-1 勘察阶段：</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1CB1E6C2">
      <w:pPr>
        <w:widowControl/>
        <w:kinsoku/>
        <w:overflowPunct w:val="0"/>
        <w:topLinePunct w:val="0"/>
        <w:autoSpaceDE w:val="0"/>
        <w:autoSpaceDN w:val="0"/>
        <w:adjustRightInd w:val="0"/>
        <w:snapToGrid w:val="0"/>
        <w:spacing w:before="156" w:beforeLines="50" w:after="156" w:afterLines="50"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A-2 设计阶段：</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1856AE76">
      <w:pPr>
        <w:widowControl/>
        <w:kinsoku/>
        <w:overflowPunct w:val="0"/>
        <w:topLinePunct w:val="0"/>
        <w:autoSpaceDE w:val="0"/>
        <w:autoSpaceDN w:val="0"/>
        <w:adjustRightInd w:val="0"/>
        <w:snapToGrid w:val="0"/>
        <w:spacing w:before="156" w:beforeLines="50" w:after="156" w:afterLines="50"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A-3 保修阶段：</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u w:val="single"/>
          <w:lang w:val="en-US" w:eastAsia="zh-CN"/>
        </w:rPr>
        <w:t xml:space="preserve">   </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24B8B5A6">
      <w:pPr>
        <w:widowControl/>
        <w:kinsoku/>
        <w:overflowPunct w:val="0"/>
        <w:topLinePunct w:val="0"/>
        <w:autoSpaceDE w:val="0"/>
        <w:autoSpaceDN w:val="0"/>
        <w:adjustRightInd w:val="0"/>
        <w:snapToGrid w:val="0"/>
        <w:spacing w:before="156" w:beforeLines="50" w:after="156" w:afterLines="50"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A-4 其他（专业技术咨询、外部协调工作等）：</w:t>
      </w:r>
      <w:r>
        <w:rPr>
          <w:rFonts w:hint="eastAsia" w:ascii="宋体" w:hAnsi="宋体" w:eastAsia="宋体" w:cs="宋体"/>
          <w:snapToGrid w:val="0"/>
          <w:color w:val="000000"/>
          <w:kern w:val="0"/>
          <w:sz w:val="21"/>
          <w:szCs w:val="21"/>
          <w:u w:val="single"/>
          <w:lang w:eastAsia="en-US"/>
        </w:rPr>
        <w:t xml:space="preserve">               </w:t>
      </w:r>
      <w:r>
        <w:rPr>
          <w:rFonts w:hint="eastAsia" w:ascii="宋体" w:hAnsi="宋体" w:eastAsia="宋体" w:cs="宋体"/>
          <w:snapToGrid w:val="0"/>
          <w:color w:val="000000"/>
          <w:kern w:val="0"/>
          <w:sz w:val="21"/>
          <w:szCs w:val="21"/>
          <w:lang w:eastAsia="en-US"/>
        </w:rPr>
        <w:t>。</w:t>
      </w:r>
    </w:p>
    <w:p w14:paraId="7E34339F">
      <w:pPr>
        <w:widowControl/>
        <w:kinsoku/>
        <w:overflowPunct w:val="0"/>
        <w:topLinePunct w:val="0"/>
        <w:autoSpaceDE w:val="0"/>
        <w:autoSpaceDN w:val="0"/>
        <w:adjustRightInd w:val="0"/>
        <w:snapToGrid w:val="0"/>
        <w:spacing w:before="156" w:beforeLines="50" w:after="156" w:afterLines="50"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p>
    <w:p w14:paraId="4879B52F">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Cs/>
          <w:snapToGrid w:val="0"/>
          <w:color w:val="000000"/>
          <w:kern w:val="0"/>
          <w:sz w:val="21"/>
          <w:szCs w:val="21"/>
          <w:lang w:eastAsia="en-US"/>
        </w:rPr>
      </w:pPr>
      <w:r>
        <w:rPr>
          <w:rFonts w:hint="eastAsia" w:ascii="宋体" w:hAnsi="宋体" w:eastAsia="宋体" w:cs="宋体"/>
          <w:bCs/>
          <w:snapToGrid w:val="0"/>
          <w:color w:val="000000"/>
          <w:kern w:val="0"/>
          <w:sz w:val="21"/>
          <w:szCs w:val="21"/>
          <w:lang w:eastAsia="en-US"/>
        </w:rPr>
        <w:br w:type="page"/>
      </w:r>
    </w:p>
    <w:p w14:paraId="5BD8ACD5">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bCs/>
          <w:snapToGrid w:val="0"/>
          <w:color w:val="000000"/>
          <w:kern w:val="0"/>
          <w:sz w:val="21"/>
          <w:szCs w:val="21"/>
          <w:lang w:eastAsia="en-US"/>
        </w:rPr>
      </w:pPr>
    </w:p>
    <w:p w14:paraId="6AE64A68">
      <w:pPr>
        <w:widowControl/>
        <w:kinsoku/>
        <w:overflowPunct w:val="0"/>
        <w:topLinePunct w:val="0"/>
        <w:autoSpaceDE w:val="0"/>
        <w:autoSpaceDN w:val="0"/>
        <w:bidi w:val="0"/>
        <w:adjustRightInd w:val="0"/>
        <w:snapToGrid w:val="0"/>
        <w:spacing w:line="360" w:lineRule="auto"/>
        <w:ind w:firstLine="422" w:firstLineChars="200"/>
        <w:jc w:val="center"/>
        <w:textAlignment w:val="baseline"/>
        <w:rPr>
          <w:rFonts w:hint="eastAsia" w:ascii="宋体" w:hAnsi="宋体" w:eastAsia="宋体" w:cs="宋体"/>
          <w:b/>
          <w:bCs/>
          <w:snapToGrid w:val="0"/>
          <w:color w:val="000000"/>
          <w:kern w:val="0"/>
          <w:sz w:val="21"/>
          <w:szCs w:val="21"/>
          <w:lang w:eastAsia="en-US"/>
        </w:rPr>
      </w:pPr>
      <w:r>
        <w:rPr>
          <w:rFonts w:hint="eastAsia" w:ascii="宋体" w:hAnsi="宋体" w:eastAsia="宋体" w:cs="宋体"/>
          <w:b/>
          <w:bCs/>
          <w:snapToGrid w:val="0"/>
          <w:color w:val="000000"/>
          <w:kern w:val="0"/>
          <w:sz w:val="21"/>
          <w:szCs w:val="21"/>
          <w:lang w:eastAsia="en-US"/>
        </w:rPr>
        <w:t>附录B  委托人派遣的人员和提供的房屋、资料、设备</w:t>
      </w:r>
    </w:p>
    <w:p w14:paraId="2F8931E6">
      <w:pPr>
        <w:widowControl/>
        <w:kinsoku/>
        <w:overflowPunct w:val="0"/>
        <w:topLinePunct w:val="0"/>
        <w:autoSpaceDE w:val="0"/>
        <w:autoSpaceDN w:val="0"/>
        <w:adjustRightInd w:val="0"/>
        <w:snapToGrid w:val="0"/>
        <w:spacing w:before="156" w:beforeLines="50" w:line="360" w:lineRule="auto"/>
        <w:ind w:firstLine="422" w:firstLineChars="200"/>
        <w:jc w:val="left"/>
        <w:textAlignment w:val="baseline"/>
        <w:rPr>
          <w:rFonts w:hint="eastAsia" w:ascii="宋体" w:hAnsi="宋体" w:eastAsia="宋体" w:cs="宋体"/>
          <w:b/>
          <w:snapToGrid w:val="0"/>
          <w:color w:val="000000"/>
          <w:kern w:val="0"/>
          <w:sz w:val="21"/>
          <w:szCs w:val="21"/>
          <w:lang w:eastAsia="en-US"/>
        </w:rPr>
      </w:pPr>
      <w:r>
        <w:rPr>
          <w:rFonts w:hint="eastAsia" w:ascii="宋体" w:hAnsi="宋体" w:eastAsia="宋体" w:cs="宋体"/>
          <w:b/>
          <w:snapToGrid w:val="0"/>
          <w:color w:val="000000"/>
          <w:kern w:val="0"/>
          <w:sz w:val="21"/>
          <w:szCs w:val="21"/>
          <w:lang w:eastAsia="en-US"/>
        </w:rPr>
        <w:t>B-1  委托人派遣的人员</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14:paraId="4DE38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8" w:type="dxa"/>
            <w:noWrap w:val="0"/>
            <w:vAlign w:val="top"/>
          </w:tcPr>
          <w:p w14:paraId="585CCD6D">
            <w:pPr>
              <w:bidi w:val="0"/>
              <w:jc w:val="center"/>
              <w:rPr>
                <w:rFonts w:hint="eastAsia" w:ascii="宋体" w:hAnsi="宋体" w:eastAsia="宋体" w:cs="宋体"/>
                <w:sz w:val="21"/>
                <w:szCs w:val="21"/>
              </w:rPr>
            </w:pPr>
            <w:r>
              <w:rPr>
                <w:rFonts w:hint="eastAsia" w:ascii="宋体" w:hAnsi="宋体" w:eastAsia="宋体" w:cs="宋体"/>
                <w:sz w:val="21"/>
                <w:szCs w:val="21"/>
              </w:rPr>
              <w:t>名称</w:t>
            </w:r>
          </w:p>
        </w:tc>
        <w:tc>
          <w:tcPr>
            <w:tcW w:w="1770" w:type="dxa"/>
            <w:noWrap w:val="0"/>
            <w:vAlign w:val="top"/>
          </w:tcPr>
          <w:p w14:paraId="4F74EE6E">
            <w:pPr>
              <w:bidi w:val="0"/>
              <w:jc w:val="center"/>
              <w:rPr>
                <w:rFonts w:hint="eastAsia" w:ascii="宋体" w:hAnsi="宋体" w:eastAsia="宋体" w:cs="宋体"/>
                <w:sz w:val="21"/>
                <w:szCs w:val="21"/>
              </w:rPr>
            </w:pPr>
            <w:r>
              <w:rPr>
                <w:rFonts w:hint="eastAsia" w:ascii="宋体" w:hAnsi="宋体" w:eastAsia="宋体" w:cs="宋体"/>
                <w:sz w:val="21"/>
                <w:szCs w:val="21"/>
              </w:rPr>
              <w:t>数量</w:t>
            </w:r>
          </w:p>
        </w:tc>
        <w:tc>
          <w:tcPr>
            <w:tcW w:w="2130" w:type="dxa"/>
            <w:noWrap w:val="0"/>
            <w:vAlign w:val="top"/>
          </w:tcPr>
          <w:p w14:paraId="09852EFC">
            <w:pPr>
              <w:bidi w:val="0"/>
              <w:jc w:val="center"/>
              <w:rPr>
                <w:rFonts w:hint="eastAsia" w:ascii="宋体" w:hAnsi="宋体" w:eastAsia="宋体" w:cs="宋体"/>
                <w:sz w:val="21"/>
                <w:szCs w:val="21"/>
              </w:rPr>
            </w:pPr>
            <w:r>
              <w:rPr>
                <w:rFonts w:hint="eastAsia" w:ascii="宋体" w:hAnsi="宋体" w:eastAsia="宋体" w:cs="宋体"/>
                <w:sz w:val="21"/>
                <w:szCs w:val="21"/>
              </w:rPr>
              <w:t>工作要求</w:t>
            </w:r>
          </w:p>
        </w:tc>
        <w:tc>
          <w:tcPr>
            <w:tcW w:w="1860" w:type="dxa"/>
            <w:noWrap w:val="0"/>
            <w:vAlign w:val="top"/>
          </w:tcPr>
          <w:p w14:paraId="225F9A99">
            <w:pPr>
              <w:bidi w:val="0"/>
              <w:jc w:val="center"/>
              <w:rPr>
                <w:rFonts w:hint="eastAsia" w:ascii="宋体" w:hAnsi="宋体" w:eastAsia="宋体" w:cs="宋体"/>
                <w:sz w:val="21"/>
                <w:szCs w:val="21"/>
              </w:rPr>
            </w:pPr>
            <w:r>
              <w:rPr>
                <w:rFonts w:hint="eastAsia" w:ascii="宋体" w:hAnsi="宋体" w:eastAsia="宋体" w:cs="宋体"/>
                <w:sz w:val="21"/>
                <w:szCs w:val="21"/>
              </w:rPr>
              <w:t>提供时间</w:t>
            </w:r>
          </w:p>
        </w:tc>
      </w:tr>
      <w:tr w14:paraId="220EC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2808" w:type="dxa"/>
            <w:noWrap w:val="0"/>
            <w:vAlign w:val="top"/>
          </w:tcPr>
          <w:p w14:paraId="32CE99F2">
            <w:pPr>
              <w:bidi w:val="0"/>
              <w:ind w:firstLine="420" w:firstLineChars="200"/>
              <w:jc w:val="left"/>
              <w:rPr>
                <w:rFonts w:hint="eastAsia" w:ascii="宋体" w:hAnsi="宋体" w:eastAsia="宋体" w:cs="宋体"/>
                <w:sz w:val="21"/>
                <w:szCs w:val="21"/>
              </w:rPr>
            </w:pPr>
            <w:r>
              <w:rPr>
                <w:rFonts w:hint="eastAsia" w:ascii="宋体" w:hAnsi="宋体" w:eastAsia="宋体" w:cs="宋体"/>
                <w:sz w:val="21"/>
                <w:szCs w:val="21"/>
              </w:rPr>
              <w:t>1.工程技术人员</w:t>
            </w:r>
          </w:p>
        </w:tc>
        <w:tc>
          <w:tcPr>
            <w:tcW w:w="1770" w:type="dxa"/>
            <w:noWrap w:val="0"/>
            <w:vAlign w:val="top"/>
          </w:tcPr>
          <w:p w14:paraId="30ABE514">
            <w:pPr>
              <w:bidi w:val="0"/>
              <w:jc w:val="center"/>
              <w:rPr>
                <w:rFonts w:hint="eastAsia" w:ascii="宋体" w:hAnsi="宋体" w:eastAsia="宋体" w:cs="宋体"/>
                <w:sz w:val="21"/>
                <w:szCs w:val="21"/>
              </w:rPr>
            </w:pPr>
          </w:p>
        </w:tc>
        <w:tc>
          <w:tcPr>
            <w:tcW w:w="2130" w:type="dxa"/>
            <w:noWrap w:val="0"/>
            <w:vAlign w:val="top"/>
          </w:tcPr>
          <w:p w14:paraId="5A41D46E">
            <w:pPr>
              <w:bidi w:val="0"/>
              <w:jc w:val="center"/>
              <w:rPr>
                <w:rFonts w:hint="eastAsia" w:ascii="宋体" w:hAnsi="宋体" w:eastAsia="宋体" w:cs="宋体"/>
                <w:sz w:val="21"/>
                <w:szCs w:val="21"/>
              </w:rPr>
            </w:pPr>
          </w:p>
        </w:tc>
        <w:tc>
          <w:tcPr>
            <w:tcW w:w="1860" w:type="dxa"/>
            <w:noWrap w:val="0"/>
            <w:vAlign w:val="top"/>
          </w:tcPr>
          <w:p w14:paraId="5BE80E33">
            <w:pPr>
              <w:bidi w:val="0"/>
              <w:jc w:val="center"/>
              <w:rPr>
                <w:rFonts w:hint="eastAsia" w:ascii="宋体" w:hAnsi="宋体" w:eastAsia="宋体" w:cs="宋体"/>
                <w:sz w:val="21"/>
                <w:szCs w:val="21"/>
              </w:rPr>
            </w:pPr>
          </w:p>
        </w:tc>
      </w:tr>
      <w:tr w14:paraId="17CA7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8" w:type="dxa"/>
            <w:noWrap w:val="0"/>
            <w:vAlign w:val="top"/>
          </w:tcPr>
          <w:p w14:paraId="2EAEDF60">
            <w:pPr>
              <w:bidi w:val="0"/>
              <w:ind w:firstLine="420" w:firstLineChars="200"/>
              <w:jc w:val="left"/>
              <w:rPr>
                <w:rFonts w:hint="eastAsia" w:ascii="宋体" w:hAnsi="宋体" w:eastAsia="宋体" w:cs="宋体"/>
                <w:sz w:val="21"/>
                <w:szCs w:val="21"/>
              </w:rPr>
            </w:pPr>
            <w:r>
              <w:rPr>
                <w:rFonts w:hint="eastAsia" w:ascii="宋体" w:hAnsi="宋体" w:eastAsia="宋体" w:cs="宋体"/>
                <w:sz w:val="21"/>
                <w:szCs w:val="21"/>
              </w:rPr>
              <w:t>2.辅助工作人员</w:t>
            </w:r>
          </w:p>
        </w:tc>
        <w:tc>
          <w:tcPr>
            <w:tcW w:w="1770" w:type="dxa"/>
            <w:noWrap w:val="0"/>
            <w:vAlign w:val="top"/>
          </w:tcPr>
          <w:p w14:paraId="7F579704">
            <w:pPr>
              <w:bidi w:val="0"/>
              <w:jc w:val="center"/>
              <w:rPr>
                <w:rFonts w:hint="eastAsia" w:ascii="宋体" w:hAnsi="宋体" w:eastAsia="宋体" w:cs="宋体"/>
                <w:sz w:val="21"/>
                <w:szCs w:val="21"/>
              </w:rPr>
            </w:pPr>
          </w:p>
        </w:tc>
        <w:tc>
          <w:tcPr>
            <w:tcW w:w="2130" w:type="dxa"/>
            <w:noWrap w:val="0"/>
            <w:vAlign w:val="top"/>
          </w:tcPr>
          <w:p w14:paraId="458701AE">
            <w:pPr>
              <w:bidi w:val="0"/>
              <w:jc w:val="center"/>
              <w:rPr>
                <w:rFonts w:hint="eastAsia" w:ascii="宋体" w:hAnsi="宋体" w:eastAsia="宋体" w:cs="宋体"/>
                <w:sz w:val="21"/>
                <w:szCs w:val="21"/>
              </w:rPr>
            </w:pPr>
          </w:p>
        </w:tc>
        <w:tc>
          <w:tcPr>
            <w:tcW w:w="1860" w:type="dxa"/>
            <w:noWrap w:val="0"/>
            <w:vAlign w:val="top"/>
          </w:tcPr>
          <w:p w14:paraId="79C01131">
            <w:pPr>
              <w:bidi w:val="0"/>
              <w:jc w:val="center"/>
              <w:rPr>
                <w:rFonts w:hint="eastAsia" w:ascii="宋体" w:hAnsi="宋体" w:eastAsia="宋体" w:cs="宋体"/>
                <w:sz w:val="21"/>
                <w:szCs w:val="21"/>
              </w:rPr>
            </w:pPr>
          </w:p>
        </w:tc>
      </w:tr>
      <w:tr w14:paraId="24CA3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8" w:type="dxa"/>
            <w:noWrap w:val="0"/>
            <w:vAlign w:val="top"/>
          </w:tcPr>
          <w:p w14:paraId="6FF44F25">
            <w:pPr>
              <w:bidi w:val="0"/>
              <w:ind w:firstLine="420" w:firstLineChars="200"/>
              <w:jc w:val="left"/>
              <w:rPr>
                <w:rFonts w:hint="eastAsia" w:ascii="宋体" w:hAnsi="宋体" w:eastAsia="宋体" w:cs="宋体"/>
                <w:sz w:val="21"/>
                <w:szCs w:val="21"/>
              </w:rPr>
            </w:pPr>
            <w:r>
              <w:rPr>
                <w:rFonts w:hint="eastAsia" w:ascii="宋体" w:hAnsi="宋体" w:eastAsia="宋体" w:cs="宋体"/>
                <w:sz w:val="21"/>
                <w:szCs w:val="21"/>
              </w:rPr>
              <w:t>3.其他人员</w:t>
            </w:r>
          </w:p>
        </w:tc>
        <w:tc>
          <w:tcPr>
            <w:tcW w:w="1770" w:type="dxa"/>
            <w:noWrap w:val="0"/>
            <w:vAlign w:val="top"/>
          </w:tcPr>
          <w:p w14:paraId="726D67C6">
            <w:pPr>
              <w:bidi w:val="0"/>
              <w:jc w:val="center"/>
              <w:rPr>
                <w:rFonts w:hint="eastAsia" w:ascii="宋体" w:hAnsi="宋体" w:eastAsia="宋体" w:cs="宋体"/>
                <w:sz w:val="21"/>
                <w:szCs w:val="21"/>
              </w:rPr>
            </w:pPr>
          </w:p>
        </w:tc>
        <w:tc>
          <w:tcPr>
            <w:tcW w:w="2130" w:type="dxa"/>
            <w:noWrap w:val="0"/>
            <w:vAlign w:val="top"/>
          </w:tcPr>
          <w:p w14:paraId="1CD72C11">
            <w:pPr>
              <w:bidi w:val="0"/>
              <w:jc w:val="center"/>
              <w:rPr>
                <w:rFonts w:hint="eastAsia" w:ascii="宋体" w:hAnsi="宋体" w:eastAsia="宋体" w:cs="宋体"/>
                <w:sz w:val="21"/>
                <w:szCs w:val="21"/>
              </w:rPr>
            </w:pPr>
          </w:p>
        </w:tc>
        <w:tc>
          <w:tcPr>
            <w:tcW w:w="1860" w:type="dxa"/>
            <w:noWrap w:val="0"/>
            <w:vAlign w:val="top"/>
          </w:tcPr>
          <w:p w14:paraId="1999D268">
            <w:pPr>
              <w:bidi w:val="0"/>
              <w:jc w:val="center"/>
              <w:rPr>
                <w:rFonts w:hint="eastAsia" w:ascii="宋体" w:hAnsi="宋体" w:eastAsia="宋体" w:cs="宋体"/>
                <w:sz w:val="21"/>
                <w:szCs w:val="21"/>
              </w:rPr>
            </w:pPr>
          </w:p>
        </w:tc>
      </w:tr>
      <w:tr w14:paraId="45489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8" w:type="dxa"/>
            <w:noWrap w:val="0"/>
            <w:vAlign w:val="top"/>
          </w:tcPr>
          <w:p w14:paraId="372A037E">
            <w:pPr>
              <w:bidi w:val="0"/>
              <w:jc w:val="left"/>
              <w:rPr>
                <w:rFonts w:hint="eastAsia" w:ascii="宋体" w:hAnsi="宋体" w:eastAsia="宋体" w:cs="宋体"/>
                <w:sz w:val="21"/>
                <w:szCs w:val="21"/>
              </w:rPr>
            </w:pPr>
          </w:p>
        </w:tc>
        <w:tc>
          <w:tcPr>
            <w:tcW w:w="1770" w:type="dxa"/>
            <w:noWrap w:val="0"/>
            <w:vAlign w:val="top"/>
          </w:tcPr>
          <w:p w14:paraId="047E6B6E">
            <w:pPr>
              <w:bidi w:val="0"/>
              <w:jc w:val="center"/>
              <w:rPr>
                <w:rFonts w:hint="eastAsia" w:ascii="宋体" w:hAnsi="宋体" w:eastAsia="宋体" w:cs="宋体"/>
                <w:sz w:val="21"/>
                <w:szCs w:val="21"/>
              </w:rPr>
            </w:pPr>
          </w:p>
        </w:tc>
        <w:tc>
          <w:tcPr>
            <w:tcW w:w="2130" w:type="dxa"/>
            <w:noWrap w:val="0"/>
            <w:vAlign w:val="top"/>
          </w:tcPr>
          <w:p w14:paraId="26FF9FB1">
            <w:pPr>
              <w:bidi w:val="0"/>
              <w:jc w:val="center"/>
              <w:rPr>
                <w:rFonts w:hint="eastAsia" w:ascii="宋体" w:hAnsi="宋体" w:eastAsia="宋体" w:cs="宋体"/>
                <w:sz w:val="21"/>
                <w:szCs w:val="21"/>
              </w:rPr>
            </w:pPr>
          </w:p>
        </w:tc>
        <w:tc>
          <w:tcPr>
            <w:tcW w:w="1860" w:type="dxa"/>
            <w:noWrap w:val="0"/>
            <w:vAlign w:val="top"/>
          </w:tcPr>
          <w:p w14:paraId="0DC7742E">
            <w:pPr>
              <w:bidi w:val="0"/>
              <w:jc w:val="center"/>
              <w:rPr>
                <w:rFonts w:hint="eastAsia" w:ascii="宋体" w:hAnsi="宋体" w:eastAsia="宋体" w:cs="宋体"/>
                <w:sz w:val="21"/>
                <w:szCs w:val="21"/>
              </w:rPr>
            </w:pPr>
          </w:p>
        </w:tc>
      </w:tr>
    </w:tbl>
    <w:p w14:paraId="6832A42C">
      <w:pPr>
        <w:widowControl/>
        <w:kinsoku/>
        <w:overflowPunct w:val="0"/>
        <w:topLinePunct w:val="0"/>
        <w:autoSpaceDE w:val="0"/>
        <w:autoSpaceDN w:val="0"/>
        <w:adjustRightInd w:val="0"/>
        <w:snapToGrid w:val="0"/>
        <w:spacing w:before="156" w:beforeLines="50" w:line="360" w:lineRule="auto"/>
        <w:ind w:firstLine="422" w:firstLineChars="200"/>
        <w:jc w:val="left"/>
        <w:textAlignment w:val="baseline"/>
        <w:rPr>
          <w:rFonts w:hint="eastAsia" w:ascii="宋体" w:hAnsi="宋体" w:eastAsia="宋体" w:cs="宋体"/>
          <w:b/>
          <w:snapToGrid w:val="0"/>
          <w:color w:val="000000"/>
          <w:kern w:val="0"/>
          <w:sz w:val="21"/>
          <w:szCs w:val="21"/>
          <w:lang w:eastAsia="en-US"/>
        </w:rPr>
      </w:pPr>
      <w:r>
        <w:rPr>
          <w:rFonts w:hint="eastAsia" w:ascii="宋体" w:hAnsi="宋体" w:eastAsia="宋体" w:cs="宋体"/>
          <w:b/>
          <w:snapToGrid w:val="0"/>
          <w:color w:val="000000"/>
          <w:kern w:val="0"/>
          <w:sz w:val="21"/>
          <w:szCs w:val="21"/>
          <w:lang w:eastAsia="en-US"/>
        </w:rPr>
        <w:t>B-2  委托人提供的房屋</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14:paraId="74E4A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14:paraId="2E74669D">
            <w:pPr>
              <w:bidi w:val="0"/>
              <w:jc w:val="center"/>
              <w:rPr>
                <w:rFonts w:hint="eastAsia" w:ascii="宋体" w:hAnsi="宋体" w:eastAsia="宋体" w:cs="宋体"/>
                <w:sz w:val="21"/>
                <w:szCs w:val="21"/>
              </w:rPr>
            </w:pPr>
            <w:r>
              <w:rPr>
                <w:rFonts w:hint="eastAsia" w:ascii="宋体" w:hAnsi="宋体" w:eastAsia="宋体" w:cs="宋体"/>
                <w:sz w:val="21"/>
                <w:szCs w:val="21"/>
              </w:rPr>
              <w:t>名称</w:t>
            </w:r>
          </w:p>
        </w:tc>
        <w:tc>
          <w:tcPr>
            <w:tcW w:w="2130" w:type="dxa"/>
            <w:noWrap w:val="0"/>
            <w:vAlign w:val="top"/>
          </w:tcPr>
          <w:p w14:paraId="69CACD7B">
            <w:pPr>
              <w:bidi w:val="0"/>
              <w:jc w:val="center"/>
              <w:rPr>
                <w:rFonts w:hint="eastAsia" w:ascii="宋体" w:hAnsi="宋体" w:eastAsia="宋体" w:cs="宋体"/>
                <w:sz w:val="21"/>
                <w:szCs w:val="21"/>
              </w:rPr>
            </w:pPr>
            <w:r>
              <w:rPr>
                <w:rFonts w:hint="eastAsia" w:ascii="宋体" w:hAnsi="宋体" w:eastAsia="宋体" w:cs="宋体"/>
                <w:sz w:val="21"/>
                <w:szCs w:val="21"/>
              </w:rPr>
              <w:t>数量</w:t>
            </w:r>
          </w:p>
        </w:tc>
        <w:tc>
          <w:tcPr>
            <w:tcW w:w="2130" w:type="dxa"/>
            <w:noWrap w:val="0"/>
            <w:vAlign w:val="top"/>
          </w:tcPr>
          <w:p w14:paraId="356A01D8">
            <w:pPr>
              <w:bidi w:val="0"/>
              <w:jc w:val="center"/>
              <w:rPr>
                <w:rFonts w:hint="eastAsia" w:ascii="宋体" w:hAnsi="宋体" w:eastAsia="宋体" w:cs="宋体"/>
                <w:sz w:val="21"/>
                <w:szCs w:val="21"/>
              </w:rPr>
            </w:pPr>
            <w:r>
              <w:rPr>
                <w:rFonts w:hint="eastAsia" w:ascii="宋体" w:hAnsi="宋体" w:eastAsia="宋体" w:cs="宋体"/>
                <w:sz w:val="21"/>
                <w:szCs w:val="21"/>
              </w:rPr>
              <w:t>面积</w:t>
            </w:r>
          </w:p>
        </w:tc>
        <w:tc>
          <w:tcPr>
            <w:tcW w:w="1860" w:type="dxa"/>
            <w:noWrap w:val="0"/>
            <w:vAlign w:val="top"/>
          </w:tcPr>
          <w:p w14:paraId="05EBEA47">
            <w:pPr>
              <w:bidi w:val="0"/>
              <w:jc w:val="center"/>
              <w:rPr>
                <w:rFonts w:hint="eastAsia" w:ascii="宋体" w:hAnsi="宋体" w:eastAsia="宋体" w:cs="宋体"/>
                <w:sz w:val="21"/>
                <w:szCs w:val="21"/>
              </w:rPr>
            </w:pPr>
            <w:r>
              <w:rPr>
                <w:rFonts w:hint="eastAsia" w:ascii="宋体" w:hAnsi="宋体" w:eastAsia="宋体" w:cs="宋体"/>
                <w:sz w:val="21"/>
                <w:szCs w:val="21"/>
              </w:rPr>
              <w:t>提供时间</w:t>
            </w:r>
          </w:p>
        </w:tc>
      </w:tr>
      <w:tr w14:paraId="6296D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14:paraId="66DA0332">
            <w:pPr>
              <w:bidi w:val="0"/>
              <w:jc w:val="center"/>
              <w:rPr>
                <w:rFonts w:hint="eastAsia" w:ascii="宋体" w:hAnsi="宋体" w:eastAsia="宋体" w:cs="宋体"/>
                <w:sz w:val="21"/>
                <w:szCs w:val="21"/>
              </w:rPr>
            </w:pPr>
            <w:r>
              <w:rPr>
                <w:rFonts w:hint="eastAsia" w:ascii="宋体" w:hAnsi="宋体" w:eastAsia="宋体" w:cs="宋体"/>
                <w:sz w:val="21"/>
                <w:szCs w:val="21"/>
              </w:rPr>
              <w:t>1.办公用房</w:t>
            </w:r>
          </w:p>
        </w:tc>
        <w:tc>
          <w:tcPr>
            <w:tcW w:w="2130" w:type="dxa"/>
            <w:noWrap w:val="0"/>
            <w:vAlign w:val="top"/>
          </w:tcPr>
          <w:p w14:paraId="0760A4B7">
            <w:pPr>
              <w:bidi w:val="0"/>
              <w:jc w:val="center"/>
              <w:rPr>
                <w:rFonts w:hint="eastAsia" w:ascii="宋体" w:hAnsi="宋体" w:eastAsia="宋体" w:cs="宋体"/>
                <w:sz w:val="21"/>
                <w:szCs w:val="21"/>
              </w:rPr>
            </w:pPr>
            <w:r>
              <w:rPr>
                <w:rFonts w:hint="eastAsia" w:ascii="宋体" w:hAnsi="宋体" w:eastAsia="宋体" w:cs="宋体"/>
                <w:sz w:val="21"/>
                <w:szCs w:val="21"/>
              </w:rPr>
              <w:t xml:space="preserve"> </w:t>
            </w:r>
          </w:p>
        </w:tc>
        <w:tc>
          <w:tcPr>
            <w:tcW w:w="2130" w:type="dxa"/>
            <w:noWrap w:val="0"/>
            <w:vAlign w:val="top"/>
          </w:tcPr>
          <w:p w14:paraId="5778A563">
            <w:pPr>
              <w:bidi w:val="0"/>
              <w:jc w:val="center"/>
              <w:rPr>
                <w:rFonts w:hint="eastAsia" w:ascii="宋体" w:hAnsi="宋体" w:eastAsia="宋体" w:cs="宋体"/>
                <w:sz w:val="21"/>
                <w:szCs w:val="21"/>
              </w:rPr>
            </w:pPr>
            <w:r>
              <w:rPr>
                <w:rFonts w:hint="eastAsia" w:ascii="宋体" w:hAnsi="宋体" w:eastAsia="宋体" w:cs="宋体"/>
                <w:sz w:val="21"/>
                <w:szCs w:val="21"/>
              </w:rPr>
              <w:t xml:space="preserve"> </w:t>
            </w:r>
          </w:p>
        </w:tc>
        <w:tc>
          <w:tcPr>
            <w:tcW w:w="1860" w:type="dxa"/>
            <w:noWrap w:val="0"/>
            <w:vAlign w:val="top"/>
          </w:tcPr>
          <w:p w14:paraId="476A2341">
            <w:pPr>
              <w:bidi w:val="0"/>
              <w:jc w:val="center"/>
              <w:rPr>
                <w:rFonts w:hint="eastAsia" w:ascii="宋体" w:hAnsi="宋体" w:eastAsia="宋体" w:cs="宋体"/>
                <w:sz w:val="21"/>
                <w:szCs w:val="21"/>
              </w:rPr>
            </w:pPr>
          </w:p>
        </w:tc>
      </w:tr>
      <w:tr w14:paraId="06546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14:paraId="3E6F63EB">
            <w:pPr>
              <w:bidi w:val="0"/>
              <w:jc w:val="center"/>
              <w:rPr>
                <w:rFonts w:hint="eastAsia" w:ascii="宋体" w:hAnsi="宋体" w:eastAsia="宋体" w:cs="宋体"/>
                <w:sz w:val="21"/>
                <w:szCs w:val="21"/>
              </w:rPr>
            </w:pPr>
            <w:r>
              <w:rPr>
                <w:rFonts w:hint="eastAsia" w:ascii="宋体" w:hAnsi="宋体" w:eastAsia="宋体" w:cs="宋体"/>
                <w:sz w:val="21"/>
                <w:szCs w:val="21"/>
              </w:rPr>
              <w:t>2.生活用房</w:t>
            </w:r>
          </w:p>
        </w:tc>
        <w:tc>
          <w:tcPr>
            <w:tcW w:w="2130" w:type="dxa"/>
            <w:noWrap w:val="0"/>
            <w:vAlign w:val="top"/>
          </w:tcPr>
          <w:p w14:paraId="354BF5B9">
            <w:pPr>
              <w:bidi w:val="0"/>
              <w:jc w:val="center"/>
              <w:rPr>
                <w:rFonts w:hint="eastAsia" w:ascii="宋体" w:hAnsi="宋体" w:eastAsia="宋体" w:cs="宋体"/>
                <w:sz w:val="21"/>
                <w:szCs w:val="21"/>
              </w:rPr>
            </w:pPr>
          </w:p>
        </w:tc>
        <w:tc>
          <w:tcPr>
            <w:tcW w:w="2130" w:type="dxa"/>
            <w:noWrap w:val="0"/>
            <w:vAlign w:val="top"/>
          </w:tcPr>
          <w:p w14:paraId="5533560D">
            <w:pPr>
              <w:bidi w:val="0"/>
              <w:jc w:val="center"/>
              <w:rPr>
                <w:rFonts w:hint="eastAsia" w:ascii="宋体" w:hAnsi="宋体" w:eastAsia="宋体" w:cs="宋体"/>
                <w:sz w:val="21"/>
                <w:szCs w:val="21"/>
              </w:rPr>
            </w:pPr>
          </w:p>
        </w:tc>
        <w:tc>
          <w:tcPr>
            <w:tcW w:w="1860" w:type="dxa"/>
            <w:noWrap w:val="0"/>
            <w:vAlign w:val="top"/>
          </w:tcPr>
          <w:p w14:paraId="1B3D523E">
            <w:pPr>
              <w:bidi w:val="0"/>
              <w:jc w:val="center"/>
              <w:rPr>
                <w:rFonts w:hint="eastAsia" w:ascii="宋体" w:hAnsi="宋体" w:eastAsia="宋体" w:cs="宋体"/>
                <w:sz w:val="21"/>
                <w:szCs w:val="21"/>
              </w:rPr>
            </w:pPr>
          </w:p>
        </w:tc>
      </w:tr>
      <w:tr w14:paraId="4C4D7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14:paraId="58DE81DE">
            <w:pPr>
              <w:bidi w:val="0"/>
              <w:jc w:val="center"/>
              <w:rPr>
                <w:rFonts w:hint="eastAsia" w:ascii="宋体" w:hAnsi="宋体" w:eastAsia="宋体" w:cs="宋体"/>
                <w:sz w:val="21"/>
                <w:szCs w:val="21"/>
              </w:rPr>
            </w:pPr>
            <w:r>
              <w:rPr>
                <w:rFonts w:hint="eastAsia" w:ascii="宋体" w:hAnsi="宋体" w:eastAsia="宋体" w:cs="宋体"/>
                <w:sz w:val="21"/>
                <w:szCs w:val="21"/>
              </w:rPr>
              <w:t>3.试验用房</w:t>
            </w:r>
          </w:p>
        </w:tc>
        <w:tc>
          <w:tcPr>
            <w:tcW w:w="2130" w:type="dxa"/>
            <w:noWrap w:val="0"/>
            <w:vAlign w:val="top"/>
          </w:tcPr>
          <w:p w14:paraId="3CEFECF5">
            <w:pPr>
              <w:bidi w:val="0"/>
              <w:jc w:val="center"/>
              <w:rPr>
                <w:rFonts w:hint="eastAsia" w:ascii="宋体" w:hAnsi="宋体" w:eastAsia="宋体" w:cs="宋体"/>
                <w:sz w:val="21"/>
                <w:szCs w:val="21"/>
              </w:rPr>
            </w:pPr>
          </w:p>
        </w:tc>
        <w:tc>
          <w:tcPr>
            <w:tcW w:w="2130" w:type="dxa"/>
            <w:noWrap w:val="0"/>
            <w:vAlign w:val="top"/>
          </w:tcPr>
          <w:p w14:paraId="5A154A72">
            <w:pPr>
              <w:bidi w:val="0"/>
              <w:jc w:val="center"/>
              <w:rPr>
                <w:rFonts w:hint="eastAsia" w:ascii="宋体" w:hAnsi="宋体" w:eastAsia="宋体" w:cs="宋体"/>
                <w:sz w:val="21"/>
                <w:szCs w:val="21"/>
              </w:rPr>
            </w:pPr>
          </w:p>
        </w:tc>
        <w:tc>
          <w:tcPr>
            <w:tcW w:w="1860" w:type="dxa"/>
            <w:noWrap w:val="0"/>
            <w:vAlign w:val="top"/>
          </w:tcPr>
          <w:p w14:paraId="2562D7AD">
            <w:pPr>
              <w:bidi w:val="0"/>
              <w:jc w:val="center"/>
              <w:rPr>
                <w:rFonts w:hint="eastAsia" w:ascii="宋体" w:hAnsi="宋体" w:eastAsia="宋体" w:cs="宋体"/>
                <w:sz w:val="21"/>
                <w:szCs w:val="21"/>
              </w:rPr>
            </w:pPr>
          </w:p>
        </w:tc>
      </w:tr>
      <w:tr w14:paraId="73AF5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14:paraId="4801EA5E">
            <w:pPr>
              <w:bidi w:val="0"/>
              <w:jc w:val="center"/>
              <w:rPr>
                <w:rFonts w:hint="eastAsia" w:ascii="宋体" w:hAnsi="宋体" w:eastAsia="宋体" w:cs="宋体"/>
                <w:sz w:val="21"/>
                <w:szCs w:val="21"/>
              </w:rPr>
            </w:pPr>
            <w:r>
              <w:rPr>
                <w:rFonts w:hint="eastAsia" w:ascii="宋体" w:hAnsi="宋体" w:eastAsia="宋体" w:cs="宋体"/>
                <w:sz w:val="21"/>
                <w:szCs w:val="21"/>
              </w:rPr>
              <w:t>4.样品用房</w:t>
            </w:r>
          </w:p>
        </w:tc>
        <w:tc>
          <w:tcPr>
            <w:tcW w:w="2130" w:type="dxa"/>
            <w:noWrap w:val="0"/>
            <w:vAlign w:val="top"/>
          </w:tcPr>
          <w:p w14:paraId="56107CDF">
            <w:pPr>
              <w:bidi w:val="0"/>
              <w:jc w:val="center"/>
              <w:rPr>
                <w:rFonts w:hint="eastAsia" w:ascii="宋体" w:hAnsi="宋体" w:eastAsia="宋体" w:cs="宋体"/>
                <w:sz w:val="21"/>
                <w:szCs w:val="21"/>
              </w:rPr>
            </w:pPr>
          </w:p>
        </w:tc>
        <w:tc>
          <w:tcPr>
            <w:tcW w:w="2130" w:type="dxa"/>
            <w:noWrap w:val="0"/>
            <w:vAlign w:val="top"/>
          </w:tcPr>
          <w:p w14:paraId="406DA757">
            <w:pPr>
              <w:bidi w:val="0"/>
              <w:jc w:val="center"/>
              <w:rPr>
                <w:rFonts w:hint="eastAsia" w:ascii="宋体" w:hAnsi="宋体" w:eastAsia="宋体" w:cs="宋体"/>
                <w:sz w:val="21"/>
                <w:szCs w:val="21"/>
              </w:rPr>
            </w:pPr>
          </w:p>
        </w:tc>
        <w:tc>
          <w:tcPr>
            <w:tcW w:w="1860" w:type="dxa"/>
            <w:noWrap w:val="0"/>
            <w:vAlign w:val="top"/>
          </w:tcPr>
          <w:p w14:paraId="34266E9E">
            <w:pPr>
              <w:bidi w:val="0"/>
              <w:jc w:val="center"/>
              <w:rPr>
                <w:rFonts w:hint="eastAsia" w:ascii="宋体" w:hAnsi="宋体" w:eastAsia="宋体" w:cs="宋体"/>
                <w:sz w:val="21"/>
                <w:szCs w:val="21"/>
              </w:rPr>
            </w:pPr>
          </w:p>
        </w:tc>
      </w:tr>
      <w:tr w14:paraId="11AC1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14:paraId="5E414DE3">
            <w:pPr>
              <w:bidi w:val="0"/>
              <w:jc w:val="center"/>
              <w:rPr>
                <w:rFonts w:hint="eastAsia" w:ascii="宋体" w:hAnsi="宋体" w:eastAsia="宋体" w:cs="宋体"/>
                <w:sz w:val="21"/>
                <w:szCs w:val="21"/>
              </w:rPr>
            </w:pPr>
          </w:p>
        </w:tc>
        <w:tc>
          <w:tcPr>
            <w:tcW w:w="2130" w:type="dxa"/>
            <w:noWrap w:val="0"/>
            <w:vAlign w:val="top"/>
          </w:tcPr>
          <w:p w14:paraId="67687D7C">
            <w:pPr>
              <w:bidi w:val="0"/>
              <w:jc w:val="center"/>
              <w:rPr>
                <w:rFonts w:hint="eastAsia" w:ascii="宋体" w:hAnsi="宋体" w:eastAsia="宋体" w:cs="宋体"/>
                <w:sz w:val="21"/>
                <w:szCs w:val="21"/>
              </w:rPr>
            </w:pPr>
          </w:p>
        </w:tc>
        <w:tc>
          <w:tcPr>
            <w:tcW w:w="2130" w:type="dxa"/>
            <w:noWrap w:val="0"/>
            <w:vAlign w:val="top"/>
          </w:tcPr>
          <w:p w14:paraId="66C1190B">
            <w:pPr>
              <w:bidi w:val="0"/>
              <w:jc w:val="center"/>
              <w:rPr>
                <w:rFonts w:hint="eastAsia" w:ascii="宋体" w:hAnsi="宋体" w:eastAsia="宋体" w:cs="宋体"/>
                <w:sz w:val="21"/>
                <w:szCs w:val="21"/>
              </w:rPr>
            </w:pPr>
          </w:p>
        </w:tc>
        <w:tc>
          <w:tcPr>
            <w:tcW w:w="1860" w:type="dxa"/>
            <w:noWrap w:val="0"/>
            <w:vAlign w:val="top"/>
          </w:tcPr>
          <w:p w14:paraId="547373F9">
            <w:pPr>
              <w:bidi w:val="0"/>
              <w:jc w:val="center"/>
              <w:rPr>
                <w:rFonts w:hint="eastAsia" w:ascii="宋体" w:hAnsi="宋体" w:eastAsia="宋体" w:cs="宋体"/>
                <w:sz w:val="21"/>
                <w:szCs w:val="21"/>
              </w:rPr>
            </w:pPr>
          </w:p>
        </w:tc>
      </w:tr>
      <w:tr w14:paraId="14BFF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14:paraId="174A953F">
            <w:pPr>
              <w:bidi w:val="0"/>
              <w:jc w:val="center"/>
              <w:rPr>
                <w:rFonts w:hint="eastAsia" w:ascii="宋体" w:hAnsi="宋体" w:eastAsia="宋体" w:cs="宋体"/>
                <w:sz w:val="21"/>
                <w:szCs w:val="21"/>
              </w:rPr>
            </w:pPr>
            <w:r>
              <w:rPr>
                <w:rFonts w:hint="eastAsia" w:ascii="宋体" w:hAnsi="宋体" w:eastAsia="宋体" w:cs="宋体"/>
                <w:sz w:val="21"/>
                <w:szCs w:val="21"/>
              </w:rPr>
              <w:t>用餐及其他生活条件</w:t>
            </w:r>
          </w:p>
        </w:tc>
        <w:tc>
          <w:tcPr>
            <w:tcW w:w="6120" w:type="dxa"/>
            <w:gridSpan w:val="3"/>
            <w:noWrap w:val="0"/>
            <w:vAlign w:val="top"/>
          </w:tcPr>
          <w:p w14:paraId="22532FFA">
            <w:pPr>
              <w:bidi w:val="0"/>
              <w:jc w:val="center"/>
              <w:rPr>
                <w:rFonts w:hint="eastAsia" w:ascii="宋体" w:hAnsi="宋体" w:eastAsia="宋体" w:cs="宋体"/>
                <w:sz w:val="21"/>
                <w:szCs w:val="21"/>
              </w:rPr>
            </w:pPr>
          </w:p>
        </w:tc>
      </w:tr>
    </w:tbl>
    <w:p w14:paraId="4942104D">
      <w:pPr>
        <w:widowControl/>
        <w:kinsoku/>
        <w:overflowPunct w:val="0"/>
        <w:topLinePunct w:val="0"/>
        <w:autoSpaceDE w:val="0"/>
        <w:autoSpaceDN w:val="0"/>
        <w:adjustRightInd w:val="0"/>
        <w:snapToGrid w:val="0"/>
        <w:spacing w:before="156" w:beforeLines="50" w:line="360" w:lineRule="auto"/>
        <w:ind w:firstLine="422" w:firstLineChars="200"/>
        <w:jc w:val="left"/>
        <w:textAlignment w:val="baseline"/>
        <w:rPr>
          <w:rFonts w:hint="eastAsia" w:ascii="宋体" w:hAnsi="宋体" w:eastAsia="宋体" w:cs="宋体"/>
          <w:b/>
          <w:snapToGrid w:val="0"/>
          <w:color w:val="000000"/>
          <w:kern w:val="0"/>
          <w:sz w:val="21"/>
          <w:szCs w:val="21"/>
          <w:lang w:eastAsia="en-US"/>
        </w:rPr>
      </w:pPr>
      <w:r>
        <w:rPr>
          <w:rFonts w:hint="eastAsia" w:ascii="宋体" w:hAnsi="宋体" w:eastAsia="宋体" w:cs="宋体"/>
          <w:b/>
          <w:snapToGrid w:val="0"/>
          <w:color w:val="000000"/>
          <w:kern w:val="0"/>
          <w:sz w:val="21"/>
          <w:szCs w:val="21"/>
          <w:lang w:eastAsia="en-US"/>
        </w:rPr>
        <w:t>B-3  委托人提供的资料</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491"/>
        <w:gridCol w:w="2147"/>
        <w:gridCol w:w="2082"/>
      </w:tblGrid>
      <w:tr w14:paraId="40206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14:paraId="7FB9194D">
            <w:pPr>
              <w:bidi w:val="0"/>
              <w:jc w:val="center"/>
              <w:rPr>
                <w:rFonts w:hint="eastAsia" w:ascii="宋体" w:hAnsi="宋体" w:eastAsia="宋体" w:cs="宋体"/>
                <w:sz w:val="21"/>
                <w:szCs w:val="21"/>
              </w:rPr>
            </w:pPr>
            <w:r>
              <w:rPr>
                <w:rFonts w:hint="eastAsia" w:ascii="宋体" w:hAnsi="宋体" w:eastAsia="宋体" w:cs="宋体"/>
                <w:sz w:val="21"/>
                <w:szCs w:val="21"/>
              </w:rPr>
              <w:t>名称</w:t>
            </w:r>
          </w:p>
        </w:tc>
        <w:tc>
          <w:tcPr>
            <w:tcW w:w="1491" w:type="dxa"/>
            <w:noWrap w:val="0"/>
            <w:vAlign w:val="top"/>
          </w:tcPr>
          <w:p w14:paraId="323B1308">
            <w:pPr>
              <w:bidi w:val="0"/>
              <w:jc w:val="center"/>
              <w:rPr>
                <w:rFonts w:hint="eastAsia" w:ascii="宋体" w:hAnsi="宋体" w:eastAsia="宋体" w:cs="宋体"/>
                <w:sz w:val="21"/>
                <w:szCs w:val="21"/>
              </w:rPr>
            </w:pPr>
            <w:r>
              <w:rPr>
                <w:rFonts w:hint="eastAsia" w:ascii="宋体" w:hAnsi="宋体" w:eastAsia="宋体" w:cs="宋体"/>
                <w:sz w:val="21"/>
                <w:szCs w:val="21"/>
              </w:rPr>
              <w:t>份数</w:t>
            </w:r>
          </w:p>
        </w:tc>
        <w:tc>
          <w:tcPr>
            <w:tcW w:w="2147" w:type="dxa"/>
            <w:noWrap w:val="0"/>
            <w:vAlign w:val="top"/>
          </w:tcPr>
          <w:p w14:paraId="70E0A2BC">
            <w:pPr>
              <w:bidi w:val="0"/>
              <w:jc w:val="center"/>
              <w:rPr>
                <w:rFonts w:hint="eastAsia" w:ascii="宋体" w:hAnsi="宋体" w:eastAsia="宋体" w:cs="宋体"/>
                <w:sz w:val="21"/>
                <w:szCs w:val="21"/>
              </w:rPr>
            </w:pPr>
            <w:r>
              <w:rPr>
                <w:rFonts w:hint="eastAsia" w:ascii="宋体" w:hAnsi="宋体" w:eastAsia="宋体" w:cs="宋体"/>
                <w:sz w:val="21"/>
                <w:szCs w:val="21"/>
              </w:rPr>
              <w:t>提供时间</w:t>
            </w:r>
          </w:p>
        </w:tc>
        <w:tc>
          <w:tcPr>
            <w:tcW w:w="2082" w:type="dxa"/>
            <w:noWrap w:val="0"/>
            <w:vAlign w:val="top"/>
          </w:tcPr>
          <w:p w14:paraId="40690F9D">
            <w:pPr>
              <w:bidi w:val="0"/>
              <w:jc w:val="center"/>
              <w:rPr>
                <w:rFonts w:hint="eastAsia" w:ascii="宋体" w:hAnsi="宋体" w:eastAsia="宋体" w:cs="宋体"/>
                <w:sz w:val="21"/>
                <w:szCs w:val="21"/>
              </w:rPr>
            </w:pPr>
            <w:r>
              <w:rPr>
                <w:rFonts w:hint="eastAsia" w:ascii="宋体" w:hAnsi="宋体" w:eastAsia="宋体" w:cs="宋体"/>
                <w:sz w:val="21"/>
                <w:szCs w:val="21"/>
              </w:rPr>
              <w:t>备注</w:t>
            </w:r>
          </w:p>
        </w:tc>
      </w:tr>
      <w:tr w14:paraId="49433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14:paraId="4E8C4729">
            <w:pPr>
              <w:bidi w:val="0"/>
              <w:ind w:firstLine="420" w:firstLineChars="200"/>
              <w:jc w:val="left"/>
              <w:rPr>
                <w:rFonts w:hint="eastAsia" w:ascii="宋体" w:hAnsi="宋体" w:eastAsia="宋体" w:cs="宋体"/>
                <w:sz w:val="21"/>
                <w:szCs w:val="21"/>
              </w:rPr>
            </w:pPr>
            <w:r>
              <w:rPr>
                <w:rFonts w:hint="eastAsia" w:ascii="宋体" w:hAnsi="宋体" w:eastAsia="宋体" w:cs="宋体"/>
                <w:sz w:val="21"/>
                <w:szCs w:val="21"/>
              </w:rPr>
              <w:t>1.工程立项文件</w:t>
            </w:r>
          </w:p>
        </w:tc>
        <w:tc>
          <w:tcPr>
            <w:tcW w:w="1491" w:type="dxa"/>
            <w:noWrap w:val="0"/>
            <w:vAlign w:val="top"/>
          </w:tcPr>
          <w:p w14:paraId="43DAAC4C">
            <w:pPr>
              <w:bidi w:val="0"/>
              <w:jc w:val="center"/>
              <w:rPr>
                <w:rFonts w:hint="eastAsia" w:ascii="宋体" w:hAnsi="宋体" w:eastAsia="宋体" w:cs="宋体"/>
                <w:sz w:val="21"/>
                <w:szCs w:val="21"/>
              </w:rPr>
            </w:pPr>
          </w:p>
        </w:tc>
        <w:tc>
          <w:tcPr>
            <w:tcW w:w="2147" w:type="dxa"/>
            <w:noWrap w:val="0"/>
            <w:vAlign w:val="top"/>
          </w:tcPr>
          <w:p w14:paraId="745242AB">
            <w:pPr>
              <w:bidi w:val="0"/>
              <w:jc w:val="center"/>
              <w:rPr>
                <w:rFonts w:hint="eastAsia" w:ascii="宋体" w:hAnsi="宋体" w:eastAsia="宋体" w:cs="宋体"/>
                <w:sz w:val="21"/>
                <w:szCs w:val="21"/>
              </w:rPr>
            </w:pPr>
          </w:p>
        </w:tc>
        <w:tc>
          <w:tcPr>
            <w:tcW w:w="2082" w:type="dxa"/>
            <w:noWrap w:val="0"/>
            <w:vAlign w:val="top"/>
          </w:tcPr>
          <w:p w14:paraId="7D4921BF">
            <w:pPr>
              <w:bidi w:val="0"/>
              <w:jc w:val="center"/>
              <w:rPr>
                <w:rFonts w:hint="eastAsia" w:ascii="宋体" w:hAnsi="宋体" w:eastAsia="宋体" w:cs="宋体"/>
                <w:sz w:val="21"/>
                <w:szCs w:val="21"/>
              </w:rPr>
            </w:pPr>
          </w:p>
        </w:tc>
      </w:tr>
      <w:tr w14:paraId="5083B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14:paraId="75E66B52">
            <w:pPr>
              <w:bidi w:val="0"/>
              <w:ind w:firstLine="420" w:firstLineChars="200"/>
              <w:jc w:val="left"/>
              <w:rPr>
                <w:rFonts w:hint="eastAsia" w:ascii="宋体" w:hAnsi="宋体" w:eastAsia="宋体" w:cs="宋体"/>
                <w:sz w:val="21"/>
                <w:szCs w:val="21"/>
              </w:rPr>
            </w:pPr>
            <w:r>
              <w:rPr>
                <w:rFonts w:hint="eastAsia" w:ascii="宋体" w:hAnsi="宋体" w:eastAsia="宋体" w:cs="宋体"/>
                <w:sz w:val="21"/>
                <w:szCs w:val="21"/>
              </w:rPr>
              <w:t>2.工程勘察文件</w:t>
            </w:r>
          </w:p>
        </w:tc>
        <w:tc>
          <w:tcPr>
            <w:tcW w:w="1491" w:type="dxa"/>
            <w:noWrap w:val="0"/>
            <w:vAlign w:val="top"/>
          </w:tcPr>
          <w:p w14:paraId="6F67F456">
            <w:pPr>
              <w:bidi w:val="0"/>
              <w:jc w:val="center"/>
              <w:rPr>
                <w:rFonts w:hint="eastAsia" w:ascii="宋体" w:hAnsi="宋体" w:eastAsia="宋体" w:cs="宋体"/>
                <w:sz w:val="21"/>
                <w:szCs w:val="21"/>
              </w:rPr>
            </w:pPr>
          </w:p>
        </w:tc>
        <w:tc>
          <w:tcPr>
            <w:tcW w:w="2147" w:type="dxa"/>
            <w:noWrap w:val="0"/>
            <w:vAlign w:val="top"/>
          </w:tcPr>
          <w:p w14:paraId="5EFB8DA1">
            <w:pPr>
              <w:bidi w:val="0"/>
              <w:jc w:val="center"/>
              <w:rPr>
                <w:rFonts w:hint="eastAsia" w:ascii="宋体" w:hAnsi="宋体" w:eastAsia="宋体" w:cs="宋体"/>
                <w:sz w:val="21"/>
                <w:szCs w:val="21"/>
              </w:rPr>
            </w:pPr>
          </w:p>
        </w:tc>
        <w:tc>
          <w:tcPr>
            <w:tcW w:w="2082" w:type="dxa"/>
            <w:noWrap w:val="0"/>
            <w:vAlign w:val="top"/>
          </w:tcPr>
          <w:p w14:paraId="2F6A85B6">
            <w:pPr>
              <w:bidi w:val="0"/>
              <w:jc w:val="center"/>
              <w:rPr>
                <w:rFonts w:hint="eastAsia" w:ascii="宋体" w:hAnsi="宋体" w:eastAsia="宋体" w:cs="宋体"/>
                <w:sz w:val="21"/>
                <w:szCs w:val="21"/>
              </w:rPr>
            </w:pPr>
          </w:p>
        </w:tc>
      </w:tr>
      <w:tr w14:paraId="060B1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14:paraId="5980B898">
            <w:pPr>
              <w:bidi w:val="0"/>
              <w:ind w:firstLine="420" w:firstLineChars="200"/>
              <w:jc w:val="left"/>
              <w:rPr>
                <w:rFonts w:hint="eastAsia" w:ascii="宋体" w:hAnsi="宋体" w:eastAsia="宋体" w:cs="宋体"/>
                <w:sz w:val="21"/>
                <w:szCs w:val="21"/>
              </w:rPr>
            </w:pPr>
            <w:r>
              <w:rPr>
                <w:rFonts w:hint="eastAsia" w:ascii="宋体" w:hAnsi="宋体" w:eastAsia="宋体" w:cs="宋体"/>
                <w:sz w:val="21"/>
                <w:szCs w:val="21"/>
              </w:rPr>
              <w:t>3.工程设计及施工图纸</w:t>
            </w:r>
          </w:p>
        </w:tc>
        <w:tc>
          <w:tcPr>
            <w:tcW w:w="1491" w:type="dxa"/>
            <w:noWrap w:val="0"/>
            <w:vAlign w:val="top"/>
          </w:tcPr>
          <w:p w14:paraId="4174B311">
            <w:pPr>
              <w:bidi w:val="0"/>
              <w:jc w:val="center"/>
              <w:rPr>
                <w:rFonts w:hint="eastAsia" w:ascii="宋体" w:hAnsi="宋体" w:eastAsia="宋体" w:cs="宋体"/>
                <w:sz w:val="21"/>
                <w:szCs w:val="21"/>
              </w:rPr>
            </w:pPr>
          </w:p>
        </w:tc>
        <w:tc>
          <w:tcPr>
            <w:tcW w:w="2147" w:type="dxa"/>
            <w:noWrap w:val="0"/>
            <w:vAlign w:val="top"/>
          </w:tcPr>
          <w:p w14:paraId="7F50F0C5">
            <w:pPr>
              <w:bidi w:val="0"/>
              <w:jc w:val="center"/>
              <w:rPr>
                <w:rFonts w:hint="eastAsia" w:ascii="宋体" w:hAnsi="宋体" w:eastAsia="宋体" w:cs="宋体"/>
                <w:sz w:val="21"/>
                <w:szCs w:val="21"/>
              </w:rPr>
            </w:pPr>
          </w:p>
        </w:tc>
        <w:tc>
          <w:tcPr>
            <w:tcW w:w="2082" w:type="dxa"/>
            <w:noWrap w:val="0"/>
            <w:vAlign w:val="top"/>
          </w:tcPr>
          <w:p w14:paraId="2184AFD4">
            <w:pPr>
              <w:bidi w:val="0"/>
              <w:jc w:val="center"/>
              <w:rPr>
                <w:rFonts w:hint="eastAsia" w:ascii="宋体" w:hAnsi="宋体" w:eastAsia="宋体" w:cs="宋体"/>
                <w:sz w:val="21"/>
                <w:szCs w:val="21"/>
              </w:rPr>
            </w:pPr>
          </w:p>
        </w:tc>
      </w:tr>
      <w:tr w14:paraId="5B517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14:paraId="572AEF19">
            <w:pPr>
              <w:bidi w:val="0"/>
              <w:ind w:firstLine="420" w:firstLineChars="200"/>
              <w:jc w:val="left"/>
              <w:rPr>
                <w:rFonts w:hint="eastAsia" w:ascii="宋体" w:hAnsi="宋体" w:eastAsia="宋体" w:cs="宋体"/>
                <w:sz w:val="21"/>
                <w:szCs w:val="21"/>
              </w:rPr>
            </w:pPr>
            <w:r>
              <w:rPr>
                <w:rFonts w:hint="eastAsia" w:ascii="宋体" w:hAnsi="宋体" w:eastAsia="宋体" w:cs="宋体"/>
                <w:sz w:val="21"/>
                <w:szCs w:val="21"/>
              </w:rPr>
              <w:t>4.工程承包合同及其他相关合同</w:t>
            </w:r>
          </w:p>
        </w:tc>
        <w:tc>
          <w:tcPr>
            <w:tcW w:w="1491" w:type="dxa"/>
            <w:noWrap w:val="0"/>
            <w:vAlign w:val="top"/>
          </w:tcPr>
          <w:p w14:paraId="39E7B8C1">
            <w:pPr>
              <w:bidi w:val="0"/>
              <w:jc w:val="center"/>
              <w:rPr>
                <w:rFonts w:hint="eastAsia" w:ascii="宋体" w:hAnsi="宋体" w:eastAsia="宋体" w:cs="宋体"/>
                <w:sz w:val="21"/>
                <w:szCs w:val="21"/>
              </w:rPr>
            </w:pPr>
          </w:p>
        </w:tc>
        <w:tc>
          <w:tcPr>
            <w:tcW w:w="2147" w:type="dxa"/>
            <w:noWrap w:val="0"/>
            <w:vAlign w:val="top"/>
          </w:tcPr>
          <w:p w14:paraId="75D19A6A">
            <w:pPr>
              <w:bidi w:val="0"/>
              <w:jc w:val="center"/>
              <w:rPr>
                <w:rFonts w:hint="eastAsia" w:ascii="宋体" w:hAnsi="宋体" w:eastAsia="宋体" w:cs="宋体"/>
                <w:sz w:val="21"/>
                <w:szCs w:val="21"/>
              </w:rPr>
            </w:pPr>
          </w:p>
        </w:tc>
        <w:tc>
          <w:tcPr>
            <w:tcW w:w="2082" w:type="dxa"/>
            <w:noWrap w:val="0"/>
            <w:vAlign w:val="top"/>
          </w:tcPr>
          <w:p w14:paraId="3A334728">
            <w:pPr>
              <w:bidi w:val="0"/>
              <w:jc w:val="center"/>
              <w:rPr>
                <w:rFonts w:hint="eastAsia" w:ascii="宋体" w:hAnsi="宋体" w:eastAsia="宋体" w:cs="宋体"/>
                <w:sz w:val="21"/>
                <w:szCs w:val="21"/>
              </w:rPr>
            </w:pPr>
          </w:p>
        </w:tc>
      </w:tr>
      <w:tr w14:paraId="758E6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14:paraId="4721A763">
            <w:pPr>
              <w:bidi w:val="0"/>
              <w:ind w:firstLine="420" w:firstLineChars="200"/>
              <w:jc w:val="left"/>
              <w:rPr>
                <w:rFonts w:hint="eastAsia" w:ascii="宋体" w:hAnsi="宋体" w:eastAsia="宋体" w:cs="宋体"/>
                <w:sz w:val="21"/>
                <w:szCs w:val="21"/>
              </w:rPr>
            </w:pPr>
            <w:r>
              <w:rPr>
                <w:rFonts w:hint="eastAsia" w:ascii="宋体" w:hAnsi="宋体" w:eastAsia="宋体" w:cs="宋体"/>
                <w:sz w:val="21"/>
                <w:szCs w:val="21"/>
              </w:rPr>
              <w:t>5.施工许可文件</w:t>
            </w:r>
          </w:p>
        </w:tc>
        <w:tc>
          <w:tcPr>
            <w:tcW w:w="1491" w:type="dxa"/>
            <w:noWrap w:val="0"/>
            <w:vAlign w:val="top"/>
          </w:tcPr>
          <w:p w14:paraId="244CA321">
            <w:pPr>
              <w:bidi w:val="0"/>
              <w:jc w:val="center"/>
              <w:rPr>
                <w:rFonts w:hint="eastAsia" w:ascii="宋体" w:hAnsi="宋体" w:eastAsia="宋体" w:cs="宋体"/>
                <w:sz w:val="21"/>
                <w:szCs w:val="21"/>
              </w:rPr>
            </w:pPr>
          </w:p>
        </w:tc>
        <w:tc>
          <w:tcPr>
            <w:tcW w:w="2147" w:type="dxa"/>
            <w:noWrap w:val="0"/>
            <w:vAlign w:val="top"/>
          </w:tcPr>
          <w:p w14:paraId="4A8058D4">
            <w:pPr>
              <w:bidi w:val="0"/>
              <w:jc w:val="center"/>
              <w:rPr>
                <w:rFonts w:hint="eastAsia" w:ascii="宋体" w:hAnsi="宋体" w:eastAsia="宋体" w:cs="宋体"/>
                <w:sz w:val="21"/>
                <w:szCs w:val="21"/>
              </w:rPr>
            </w:pPr>
          </w:p>
        </w:tc>
        <w:tc>
          <w:tcPr>
            <w:tcW w:w="2082" w:type="dxa"/>
            <w:noWrap w:val="0"/>
            <w:vAlign w:val="top"/>
          </w:tcPr>
          <w:p w14:paraId="374DECAE">
            <w:pPr>
              <w:bidi w:val="0"/>
              <w:jc w:val="center"/>
              <w:rPr>
                <w:rFonts w:hint="eastAsia" w:ascii="宋体" w:hAnsi="宋体" w:eastAsia="宋体" w:cs="宋体"/>
                <w:sz w:val="21"/>
                <w:szCs w:val="21"/>
              </w:rPr>
            </w:pPr>
          </w:p>
        </w:tc>
      </w:tr>
      <w:tr w14:paraId="2DF0D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14:paraId="71A36BAD">
            <w:pPr>
              <w:bidi w:val="0"/>
              <w:ind w:firstLine="420" w:firstLineChars="200"/>
              <w:jc w:val="left"/>
              <w:rPr>
                <w:rFonts w:hint="eastAsia" w:ascii="宋体" w:hAnsi="宋体" w:eastAsia="宋体" w:cs="宋体"/>
                <w:sz w:val="21"/>
                <w:szCs w:val="21"/>
              </w:rPr>
            </w:pPr>
            <w:r>
              <w:rPr>
                <w:rFonts w:hint="eastAsia" w:ascii="宋体" w:hAnsi="宋体" w:eastAsia="宋体" w:cs="宋体"/>
                <w:sz w:val="21"/>
                <w:szCs w:val="21"/>
              </w:rPr>
              <w:t>6.其他文件</w:t>
            </w:r>
          </w:p>
        </w:tc>
        <w:tc>
          <w:tcPr>
            <w:tcW w:w="1491" w:type="dxa"/>
            <w:noWrap w:val="0"/>
            <w:vAlign w:val="top"/>
          </w:tcPr>
          <w:p w14:paraId="1DBF64D4">
            <w:pPr>
              <w:bidi w:val="0"/>
              <w:ind w:firstLine="420" w:firstLineChars="200"/>
              <w:jc w:val="left"/>
              <w:rPr>
                <w:rFonts w:hint="eastAsia" w:ascii="宋体" w:hAnsi="宋体" w:eastAsia="宋体" w:cs="宋体"/>
                <w:sz w:val="21"/>
                <w:szCs w:val="21"/>
              </w:rPr>
            </w:pPr>
          </w:p>
        </w:tc>
        <w:tc>
          <w:tcPr>
            <w:tcW w:w="2147" w:type="dxa"/>
            <w:noWrap w:val="0"/>
            <w:vAlign w:val="top"/>
          </w:tcPr>
          <w:p w14:paraId="554AA8BD">
            <w:pPr>
              <w:bidi w:val="0"/>
              <w:jc w:val="center"/>
              <w:rPr>
                <w:rFonts w:hint="eastAsia" w:ascii="宋体" w:hAnsi="宋体" w:eastAsia="宋体" w:cs="宋体"/>
                <w:sz w:val="21"/>
                <w:szCs w:val="21"/>
              </w:rPr>
            </w:pPr>
          </w:p>
        </w:tc>
        <w:tc>
          <w:tcPr>
            <w:tcW w:w="2082" w:type="dxa"/>
            <w:noWrap w:val="0"/>
            <w:vAlign w:val="top"/>
          </w:tcPr>
          <w:p w14:paraId="736CF10D">
            <w:pPr>
              <w:bidi w:val="0"/>
              <w:jc w:val="center"/>
              <w:rPr>
                <w:rFonts w:hint="eastAsia" w:ascii="宋体" w:hAnsi="宋体" w:eastAsia="宋体" w:cs="宋体"/>
                <w:sz w:val="21"/>
                <w:szCs w:val="21"/>
              </w:rPr>
            </w:pPr>
          </w:p>
        </w:tc>
      </w:tr>
      <w:tr w14:paraId="4D12B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14:paraId="554643BE">
            <w:pPr>
              <w:bidi w:val="0"/>
              <w:jc w:val="center"/>
              <w:rPr>
                <w:rFonts w:hint="eastAsia" w:ascii="宋体" w:hAnsi="宋体" w:eastAsia="宋体" w:cs="宋体"/>
                <w:sz w:val="21"/>
                <w:szCs w:val="21"/>
              </w:rPr>
            </w:pPr>
          </w:p>
        </w:tc>
        <w:tc>
          <w:tcPr>
            <w:tcW w:w="1491" w:type="dxa"/>
            <w:noWrap w:val="0"/>
            <w:vAlign w:val="top"/>
          </w:tcPr>
          <w:p w14:paraId="39783A57">
            <w:pPr>
              <w:bidi w:val="0"/>
              <w:jc w:val="center"/>
              <w:rPr>
                <w:rFonts w:hint="eastAsia" w:ascii="宋体" w:hAnsi="宋体" w:eastAsia="宋体" w:cs="宋体"/>
                <w:sz w:val="21"/>
                <w:szCs w:val="21"/>
              </w:rPr>
            </w:pPr>
          </w:p>
        </w:tc>
        <w:tc>
          <w:tcPr>
            <w:tcW w:w="2147" w:type="dxa"/>
            <w:noWrap w:val="0"/>
            <w:vAlign w:val="top"/>
          </w:tcPr>
          <w:p w14:paraId="4B24B0AB">
            <w:pPr>
              <w:bidi w:val="0"/>
              <w:jc w:val="center"/>
              <w:rPr>
                <w:rFonts w:hint="eastAsia" w:ascii="宋体" w:hAnsi="宋体" w:eastAsia="宋体" w:cs="宋体"/>
                <w:sz w:val="21"/>
                <w:szCs w:val="21"/>
              </w:rPr>
            </w:pPr>
          </w:p>
        </w:tc>
        <w:tc>
          <w:tcPr>
            <w:tcW w:w="2082" w:type="dxa"/>
            <w:noWrap w:val="0"/>
            <w:vAlign w:val="top"/>
          </w:tcPr>
          <w:p w14:paraId="43310B0D">
            <w:pPr>
              <w:bidi w:val="0"/>
              <w:jc w:val="center"/>
              <w:rPr>
                <w:rFonts w:hint="eastAsia" w:ascii="宋体" w:hAnsi="宋体" w:eastAsia="宋体" w:cs="宋体"/>
                <w:sz w:val="21"/>
                <w:szCs w:val="21"/>
              </w:rPr>
            </w:pPr>
          </w:p>
        </w:tc>
      </w:tr>
    </w:tbl>
    <w:p w14:paraId="73F296A0">
      <w:pPr>
        <w:widowControl/>
        <w:kinsoku/>
        <w:overflowPunct w:val="0"/>
        <w:topLinePunct w:val="0"/>
        <w:autoSpaceDE w:val="0"/>
        <w:autoSpaceDN w:val="0"/>
        <w:adjustRightInd w:val="0"/>
        <w:snapToGrid w:val="0"/>
        <w:spacing w:before="156" w:beforeLines="50" w:line="360" w:lineRule="auto"/>
        <w:ind w:firstLine="422" w:firstLineChars="200"/>
        <w:jc w:val="left"/>
        <w:textAlignment w:val="baseline"/>
        <w:rPr>
          <w:rFonts w:hint="eastAsia" w:ascii="宋体" w:hAnsi="宋体" w:eastAsia="宋体" w:cs="宋体"/>
          <w:b/>
          <w:snapToGrid w:val="0"/>
          <w:color w:val="000000"/>
          <w:kern w:val="0"/>
          <w:sz w:val="21"/>
          <w:szCs w:val="21"/>
          <w:lang w:eastAsia="en-US"/>
        </w:rPr>
      </w:pPr>
      <w:r>
        <w:rPr>
          <w:rFonts w:hint="eastAsia" w:ascii="宋体" w:hAnsi="宋体" w:eastAsia="宋体" w:cs="宋体"/>
          <w:b/>
          <w:snapToGrid w:val="0"/>
          <w:color w:val="000000"/>
          <w:kern w:val="0"/>
          <w:sz w:val="21"/>
          <w:szCs w:val="21"/>
          <w:lang w:eastAsia="en-US"/>
        </w:rPr>
        <w:t>B-4 委托人提供的设备</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14:paraId="013AE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988" w:type="dxa"/>
            <w:noWrap w:val="0"/>
            <w:vAlign w:val="top"/>
          </w:tcPr>
          <w:p w14:paraId="35AC11EC">
            <w:pPr>
              <w:bidi w:val="0"/>
              <w:jc w:val="center"/>
              <w:rPr>
                <w:rFonts w:hint="eastAsia" w:ascii="宋体" w:hAnsi="宋体" w:eastAsia="宋体" w:cs="宋体"/>
                <w:sz w:val="21"/>
                <w:szCs w:val="21"/>
              </w:rPr>
            </w:pPr>
            <w:r>
              <w:rPr>
                <w:rFonts w:hint="eastAsia" w:ascii="宋体" w:hAnsi="宋体" w:eastAsia="宋体" w:cs="宋体"/>
                <w:sz w:val="21"/>
                <w:szCs w:val="21"/>
              </w:rPr>
              <w:t>名称</w:t>
            </w:r>
          </w:p>
        </w:tc>
        <w:tc>
          <w:tcPr>
            <w:tcW w:w="1590" w:type="dxa"/>
            <w:noWrap w:val="0"/>
            <w:vAlign w:val="top"/>
          </w:tcPr>
          <w:p w14:paraId="462824CE">
            <w:pPr>
              <w:bidi w:val="0"/>
              <w:jc w:val="center"/>
              <w:rPr>
                <w:rFonts w:hint="eastAsia" w:ascii="宋体" w:hAnsi="宋体" w:eastAsia="宋体" w:cs="宋体"/>
                <w:sz w:val="21"/>
                <w:szCs w:val="21"/>
              </w:rPr>
            </w:pPr>
            <w:r>
              <w:rPr>
                <w:rFonts w:hint="eastAsia" w:ascii="宋体" w:hAnsi="宋体" w:eastAsia="宋体" w:cs="宋体"/>
                <w:sz w:val="21"/>
                <w:szCs w:val="21"/>
              </w:rPr>
              <w:t>数量</w:t>
            </w:r>
          </w:p>
        </w:tc>
        <w:tc>
          <w:tcPr>
            <w:tcW w:w="2130" w:type="dxa"/>
            <w:noWrap w:val="0"/>
            <w:vAlign w:val="top"/>
          </w:tcPr>
          <w:p w14:paraId="5BADD917">
            <w:pPr>
              <w:bidi w:val="0"/>
              <w:jc w:val="center"/>
              <w:rPr>
                <w:rFonts w:hint="eastAsia" w:ascii="宋体" w:hAnsi="宋体" w:eastAsia="宋体" w:cs="宋体"/>
                <w:sz w:val="21"/>
                <w:szCs w:val="21"/>
              </w:rPr>
            </w:pPr>
            <w:r>
              <w:rPr>
                <w:rFonts w:hint="eastAsia" w:ascii="宋体" w:hAnsi="宋体" w:eastAsia="宋体" w:cs="宋体"/>
                <w:sz w:val="21"/>
                <w:szCs w:val="21"/>
              </w:rPr>
              <w:t>型号与规格</w:t>
            </w:r>
          </w:p>
        </w:tc>
        <w:tc>
          <w:tcPr>
            <w:tcW w:w="1860" w:type="dxa"/>
            <w:noWrap w:val="0"/>
            <w:vAlign w:val="top"/>
          </w:tcPr>
          <w:p w14:paraId="3C10220C">
            <w:pPr>
              <w:bidi w:val="0"/>
              <w:jc w:val="center"/>
              <w:rPr>
                <w:rFonts w:hint="eastAsia" w:ascii="宋体" w:hAnsi="宋体" w:eastAsia="宋体" w:cs="宋体"/>
                <w:sz w:val="21"/>
                <w:szCs w:val="21"/>
              </w:rPr>
            </w:pPr>
            <w:r>
              <w:rPr>
                <w:rFonts w:hint="eastAsia" w:ascii="宋体" w:hAnsi="宋体" w:eastAsia="宋体" w:cs="宋体"/>
                <w:sz w:val="21"/>
                <w:szCs w:val="21"/>
              </w:rPr>
              <w:t>提供时间</w:t>
            </w:r>
          </w:p>
        </w:tc>
      </w:tr>
      <w:tr w14:paraId="19011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988" w:type="dxa"/>
            <w:noWrap w:val="0"/>
            <w:vAlign w:val="top"/>
          </w:tcPr>
          <w:p w14:paraId="506A80D0">
            <w:pPr>
              <w:bidi w:val="0"/>
              <w:ind w:firstLine="420" w:firstLineChars="200"/>
              <w:jc w:val="left"/>
              <w:rPr>
                <w:rFonts w:hint="eastAsia" w:ascii="宋体" w:hAnsi="宋体" w:eastAsia="宋体" w:cs="宋体"/>
                <w:sz w:val="21"/>
                <w:szCs w:val="21"/>
              </w:rPr>
            </w:pPr>
            <w:r>
              <w:rPr>
                <w:rFonts w:hint="eastAsia" w:ascii="宋体" w:hAnsi="宋体" w:eastAsia="宋体" w:cs="宋体"/>
                <w:sz w:val="21"/>
                <w:szCs w:val="21"/>
              </w:rPr>
              <w:t>1.通讯设备</w:t>
            </w:r>
          </w:p>
        </w:tc>
        <w:tc>
          <w:tcPr>
            <w:tcW w:w="1590" w:type="dxa"/>
            <w:noWrap w:val="0"/>
            <w:vAlign w:val="top"/>
          </w:tcPr>
          <w:p w14:paraId="58A67F95">
            <w:pPr>
              <w:bidi w:val="0"/>
              <w:jc w:val="center"/>
              <w:rPr>
                <w:rFonts w:hint="eastAsia" w:ascii="宋体" w:hAnsi="宋体" w:eastAsia="宋体" w:cs="宋体"/>
                <w:sz w:val="21"/>
                <w:szCs w:val="21"/>
              </w:rPr>
            </w:pPr>
          </w:p>
        </w:tc>
        <w:tc>
          <w:tcPr>
            <w:tcW w:w="2130" w:type="dxa"/>
            <w:noWrap w:val="0"/>
            <w:vAlign w:val="top"/>
          </w:tcPr>
          <w:p w14:paraId="6B0659AF">
            <w:pPr>
              <w:bidi w:val="0"/>
              <w:jc w:val="center"/>
              <w:rPr>
                <w:rFonts w:hint="eastAsia" w:ascii="宋体" w:hAnsi="宋体" w:eastAsia="宋体" w:cs="宋体"/>
                <w:sz w:val="21"/>
                <w:szCs w:val="21"/>
              </w:rPr>
            </w:pPr>
          </w:p>
        </w:tc>
        <w:tc>
          <w:tcPr>
            <w:tcW w:w="1860" w:type="dxa"/>
            <w:noWrap w:val="0"/>
            <w:vAlign w:val="top"/>
          </w:tcPr>
          <w:p w14:paraId="24266405">
            <w:pPr>
              <w:bidi w:val="0"/>
              <w:jc w:val="center"/>
              <w:rPr>
                <w:rFonts w:hint="eastAsia" w:ascii="宋体" w:hAnsi="宋体" w:eastAsia="宋体" w:cs="宋体"/>
                <w:sz w:val="21"/>
                <w:szCs w:val="21"/>
              </w:rPr>
            </w:pPr>
          </w:p>
        </w:tc>
      </w:tr>
      <w:tr w14:paraId="12F56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988" w:type="dxa"/>
            <w:noWrap w:val="0"/>
            <w:vAlign w:val="top"/>
          </w:tcPr>
          <w:p w14:paraId="30C9D650">
            <w:pPr>
              <w:bidi w:val="0"/>
              <w:ind w:firstLine="420" w:firstLineChars="200"/>
              <w:jc w:val="left"/>
              <w:rPr>
                <w:rFonts w:hint="eastAsia" w:ascii="宋体" w:hAnsi="宋体" w:eastAsia="宋体" w:cs="宋体"/>
                <w:sz w:val="21"/>
                <w:szCs w:val="21"/>
              </w:rPr>
            </w:pPr>
            <w:r>
              <w:rPr>
                <w:rFonts w:hint="eastAsia" w:ascii="宋体" w:hAnsi="宋体" w:eastAsia="宋体" w:cs="宋体"/>
                <w:sz w:val="21"/>
                <w:szCs w:val="21"/>
              </w:rPr>
              <w:t>2.办公设备</w:t>
            </w:r>
          </w:p>
        </w:tc>
        <w:tc>
          <w:tcPr>
            <w:tcW w:w="1590" w:type="dxa"/>
            <w:noWrap w:val="0"/>
            <w:vAlign w:val="top"/>
          </w:tcPr>
          <w:p w14:paraId="1A94CB25">
            <w:pPr>
              <w:bidi w:val="0"/>
              <w:jc w:val="center"/>
              <w:rPr>
                <w:rFonts w:hint="eastAsia" w:ascii="宋体" w:hAnsi="宋体" w:eastAsia="宋体" w:cs="宋体"/>
                <w:sz w:val="21"/>
                <w:szCs w:val="21"/>
              </w:rPr>
            </w:pPr>
          </w:p>
        </w:tc>
        <w:tc>
          <w:tcPr>
            <w:tcW w:w="2130" w:type="dxa"/>
            <w:noWrap w:val="0"/>
            <w:vAlign w:val="top"/>
          </w:tcPr>
          <w:p w14:paraId="672F7692">
            <w:pPr>
              <w:bidi w:val="0"/>
              <w:jc w:val="center"/>
              <w:rPr>
                <w:rFonts w:hint="eastAsia" w:ascii="宋体" w:hAnsi="宋体" w:eastAsia="宋体" w:cs="宋体"/>
                <w:sz w:val="21"/>
                <w:szCs w:val="21"/>
              </w:rPr>
            </w:pPr>
          </w:p>
        </w:tc>
        <w:tc>
          <w:tcPr>
            <w:tcW w:w="1860" w:type="dxa"/>
            <w:noWrap w:val="0"/>
            <w:vAlign w:val="top"/>
          </w:tcPr>
          <w:p w14:paraId="5FE141B4">
            <w:pPr>
              <w:bidi w:val="0"/>
              <w:jc w:val="center"/>
              <w:rPr>
                <w:rFonts w:hint="eastAsia" w:ascii="宋体" w:hAnsi="宋体" w:eastAsia="宋体" w:cs="宋体"/>
                <w:sz w:val="21"/>
                <w:szCs w:val="21"/>
              </w:rPr>
            </w:pPr>
          </w:p>
        </w:tc>
      </w:tr>
      <w:tr w14:paraId="3BA35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988" w:type="dxa"/>
            <w:noWrap w:val="0"/>
            <w:vAlign w:val="top"/>
          </w:tcPr>
          <w:p w14:paraId="70E55119">
            <w:pPr>
              <w:bidi w:val="0"/>
              <w:ind w:firstLine="420" w:firstLineChars="200"/>
              <w:jc w:val="left"/>
              <w:rPr>
                <w:rFonts w:hint="eastAsia" w:ascii="宋体" w:hAnsi="宋体" w:eastAsia="宋体" w:cs="宋体"/>
                <w:sz w:val="21"/>
                <w:szCs w:val="21"/>
              </w:rPr>
            </w:pPr>
            <w:r>
              <w:rPr>
                <w:rFonts w:hint="eastAsia" w:ascii="宋体" w:hAnsi="宋体" w:eastAsia="宋体" w:cs="宋体"/>
                <w:sz w:val="21"/>
                <w:szCs w:val="21"/>
              </w:rPr>
              <w:t>3.交通工具</w:t>
            </w:r>
          </w:p>
        </w:tc>
        <w:tc>
          <w:tcPr>
            <w:tcW w:w="1590" w:type="dxa"/>
            <w:noWrap w:val="0"/>
            <w:vAlign w:val="top"/>
          </w:tcPr>
          <w:p w14:paraId="562F341F">
            <w:pPr>
              <w:bidi w:val="0"/>
              <w:jc w:val="center"/>
              <w:rPr>
                <w:rFonts w:hint="eastAsia" w:ascii="宋体" w:hAnsi="宋体" w:eastAsia="宋体" w:cs="宋体"/>
                <w:sz w:val="21"/>
                <w:szCs w:val="21"/>
              </w:rPr>
            </w:pPr>
          </w:p>
        </w:tc>
        <w:tc>
          <w:tcPr>
            <w:tcW w:w="2130" w:type="dxa"/>
            <w:noWrap w:val="0"/>
            <w:vAlign w:val="top"/>
          </w:tcPr>
          <w:p w14:paraId="1DA5F08C">
            <w:pPr>
              <w:bidi w:val="0"/>
              <w:jc w:val="center"/>
              <w:rPr>
                <w:rFonts w:hint="eastAsia" w:ascii="宋体" w:hAnsi="宋体" w:eastAsia="宋体" w:cs="宋体"/>
                <w:sz w:val="21"/>
                <w:szCs w:val="21"/>
              </w:rPr>
            </w:pPr>
          </w:p>
        </w:tc>
        <w:tc>
          <w:tcPr>
            <w:tcW w:w="1860" w:type="dxa"/>
            <w:noWrap w:val="0"/>
            <w:vAlign w:val="top"/>
          </w:tcPr>
          <w:p w14:paraId="6B98BCA5">
            <w:pPr>
              <w:bidi w:val="0"/>
              <w:jc w:val="center"/>
              <w:rPr>
                <w:rFonts w:hint="eastAsia" w:ascii="宋体" w:hAnsi="宋体" w:eastAsia="宋体" w:cs="宋体"/>
                <w:sz w:val="21"/>
                <w:szCs w:val="21"/>
              </w:rPr>
            </w:pPr>
          </w:p>
        </w:tc>
      </w:tr>
      <w:tr w14:paraId="4C5B1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988" w:type="dxa"/>
            <w:noWrap w:val="0"/>
            <w:vAlign w:val="top"/>
          </w:tcPr>
          <w:p w14:paraId="4A4D940A">
            <w:pPr>
              <w:bidi w:val="0"/>
              <w:ind w:firstLine="420" w:firstLineChars="200"/>
              <w:jc w:val="left"/>
              <w:rPr>
                <w:rFonts w:hint="eastAsia" w:ascii="宋体" w:hAnsi="宋体" w:eastAsia="宋体" w:cs="宋体"/>
                <w:sz w:val="21"/>
                <w:szCs w:val="21"/>
              </w:rPr>
            </w:pPr>
            <w:r>
              <w:rPr>
                <w:rFonts w:hint="eastAsia" w:ascii="宋体" w:hAnsi="宋体" w:eastAsia="宋体" w:cs="宋体"/>
                <w:sz w:val="21"/>
                <w:szCs w:val="21"/>
              </w:rPr>
              <w:t>4.检测和试验设备</w:t>
            </w:r>
          </w:p>
        </w:tc>
        <w:tc>
          <w:tcPr>
            <w:tcW w:w="1590" w:type="dxa"/>
            <w:noWrap w:val="0"/>
            <w:vAlign w:val="top"/>
          </w:tcPr>
          <w:p w14:paraId="522824B0">
            <w:pPr>
              <w:bidi w:val="0"/>
              <w:jc w:val="center"/>
              <w:rPr>
                <w:rFonts w:hint="eastAsia" w:ascii="宋体" w:hAnsi="宋体" w:eastAsia="宋体" w:cs="宋体"/>
                <w:sz w:val="21"/>
                <w:szCs w:val="21"/>
              </w:rPr>
            </w:pPr>
          </w:p>
        </w:tc>
        <w:tc>
          <w:tcPr>
            <w:tcW w:w="2130" w:type="dxa"/>
            <w:noWrap w:val="0"/>
            <w:vAlign w:val="top"/>
          </w:tcPr>
          <w:p w14:paraId="3051D0D9">
            <w:pPr>
              <w:bidi w:val="0"/>
              <w:jc w:val="center"/>
              <w:rPr>
                <w:rFonts w:hint="eastAsia" w:ascii="宋体" w:hAnsi="宋体" w:eastAsia="宋体" w:cs="宋体"/>
                <w:sz w:val="21"/>
                <w:szCs w:val="21"/>
              </w:rPr>
            </w:pPr>
          </w:p>
        </w:tc>
        <w:tc>
          <w:tcPr>
            <w:tcW w:w="1860" w:type="dxa"/>
            <w:noWrap w:val="0"/>
            <w:vAlign w:val="top"/>
          </w:tcPr>
          <w:p w14:paraId="394527D8">
            <w:pPr>
              <w:bidi w:val="0"/>
              <w:jc w:val="center"/>
              <w:rPr>
                <w:rFonts w:hint="eastAsia" w:ascii="宋体" w:hAnsi="宋体" w:eastAsia="宋体" w:cs="宋体"/>
                <w:sz w:val="21"/>
                <w:szCs w:val="21"/>
              </w:rPr>
            </w:pPr>
          </w:p>
        </w:tc>
      </w:tr>
      <w:tr w14:paraId="25DA0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988" w:type="dxa"/>
            <w:noWrap w:val="0"/>
            <w:vAlign w:val="top"/>
          </w:tcPr>
          <w:p w14:paraId="4FAAF49C">
            <w:pPr>
              <w:bidi w:val="0"/>
              <w:jc w:val="center"/>
              <w:rPr>
                <w:rFonts w:hint="eastAsia" w:ascii="宋体" w:hAnsi="宋体" w:eastAsia="宋体" w:cs="宋体"/>
                <w:sz w:val="21"/>
                <w:szCs w:val="21"/>
              </w:rPr>
            </w:pPr>
          </w:p>
        </w:tc>
        <w:tc>
          <w:tcPr>
            <w:tcW w:w="1590" w:type="dxa"/>
            <w:noWrap w:val="0"/>
            <w:vAlign w:val="top"/>
          </w:tcPr>
          <w:p w14:paraId="14F22368">
            <w:pPr>
              <w:bidi w:val="0"/>
              <w:jc w:val="center"/>
              <w:rPr>
                <w:rFonts w:hint="eastAsia" w:ascii="宋体" w:hAnsi="宋体" w:eastAsia="宋体" w:cs="宋体"/>
                <w:sz w:val="21"/>
                <w:szCs w:val="21"/>
              </w:rPr>
            </w:pPr>
          </w:p>
        </w:tc>
        <w:tc>
          <w:tcPr>
            <w:tcW w:w="2130" w:type="dxa"/>
            <w:noWrap w:val="0"/>
            <w:vAlign w:val="top"/>
          </w:tcPr>
          <w:p w14:paraId="74FBD1B1">
            <w:pPr>
              <w:bidi w:val="0"/>
              <w:jc w:val="center"/>
              <w:rPr>
                <w:rFonts w:hint="eastAsia" w:ascii="宋体" w:hAnsi="宋体" w:eastAsia="宋体" w:cs="宋体"/>
                <w:sz w:val="21"/>
                <w:szCs w:val="21"/>
              </w:rPr>
            </w:pPr>
          </w:p>
        </w:tc>
        <w:tc>
          <w:tcPr>
            <w:tcW w:w="1860" w:type="dxa"/>
            <w:noWrap w:val="0"/>
            <w:vAlign w:val="top"/>
          </w:tcPr>
          <w:p w14:paraId="4ED95A10">
            <w:pPr>
              <w:bidi w:val="0"/>
              <w:jc w:val="center"/>
              <w:rPr>
                <w:rFonts w:hint="eastAsia" w:ascii="宋体" w:hAnsi="宋体" w:eastAsia="宋体" w:cs="宋体"/>
                <w:sz w:val="21"/>
                <w:szCs w:val="21"/>
              </w:rPr>
            </w:pPr>
          </w:p>
        </w:tc>
      </w:tr>
    </w:tbl>
    <w:p w14:paraId="3C56B21B">
      <w:pPr>
        <w:widowControl/>
        <w:kinsoku/>
        <w:overflowPunct w:val="0"/>
        <w:topLinePunct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lang w:eastAsia="en-US"/>
        </w:rPr>
      </w:pPr>
    </w:p>
    <w:p w14:paraId="23CF61E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871DDB"/>
    <w:rsid w:val="00B27FF2"/>
    <w:rsid w:val="074613F9"/>
    <w:rsid w:val="0A871DDB"/>
    <w:rsid w:val="0CEC568C"/>
    <w:rsid w:val="3B5F50F7"/>
    <w:rsid w:val="431A77C9"/>
    <w:rsid w:val="7B473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9164</Words>
  <Characters>9698</Characters>
  <Lines>0</Lines>
  <Paragraphs>0</Paragraphs>
  <TotalTime>0</TotalTime>
  <ScaleCrop>false</ScaleCrop>
  <LinksUpToDate>false</LinksUpToDate>
  <CharactersWithSpaces>11511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2025-11-04T06:19:00Z</dcterms:created>
  <dc:creator>  々 自在飛花＂</dc:creator>
  <cp:lastModifiedBy>晴天娃娃</cp:lastModifiedBy>
  <dcterms:modified xsi:type="dcterms:W3CDTF">2025-11-07T06:54:42Z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C76C2C34633C4EEF8A55BB748FA81623_11</vt:lpwstr>
  </property>
  <property fmtid="{D5CDD505-2E9C-101B-9397-08002B2CF9AE}" pid="4" name="KSOTemplateDocerSaveRecord">
    <vt:lpwstr>eyJoZGlkIjoiYTg4ZmU1OWFhMTA0ZTFjZGRjY2VjNGFhNzY1MGZmMzgiLCJ1c2VySWQiOiI0MjcyNDIzNzcifQ==</vt:lpwstr>
  </property>
</Properties>
</file>