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版本号：SX-HTZY-2025000820251107001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西安市临潼区穆寨街道2025年防汛应急抢险项目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SX-HTZY-20250008</w:t>
      </w:r>
      <w:r>
        <w:br/>
      </w:r>
      <w:r>
        <w:br/>
      </w:r>
      <w:r>
        <w:br/>
      </w:r>
    </w:p>
    <w:p>
      <w:pPr>
        <w:pStyle w:val="null3"/>
        <w:jc w:val="center"/>
        <w:outlineLvl w:val="2"/>
      </w:pPr>
      <w:r>
        <w:rPr>
          <w:rFonts w:ascii="仿宋_GB2312" w:hAnsi="仿宋_GB2312" w:cs="仿宋_GB2312" w:eastAsia="仿宋_GB2312"/>
          <w:sz w:val="28"/>
          <w:b/>
        </w:rPr>
        <w:t>西安市临潼区穆寨街道办事处</w:t>
      </w:r>
    </w:p>
    <w:p>
      <w:pPr>
        <w:pStyle w:val="null3"/>
        <w:jc w:val="center"/>
        <w:outlineLvl w:val="2"/>
      </w:pPr>
      <w:r>
        <w:rPr>
          <w:rFonts w:ascii="仿宋_GB2312" w:hAnsi="仿宋_GB2312" w:cs="仿宋_GB2312" w:eastAsia="仿宋_GB2312"/>
          <w:sz w:val="28"/>
          <w:b/>
        </w:rPr>
        <w:t>陕西恒泰众业项目管理有限公司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陕西恒泰众业项目管理有限公司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西安市临潼区穆寨街道办事处</w:t>
      </w:r>
      <w:r>
        <w:rPr>
          <w:rFonts w:ascii="仿宋_GB2312" w:hAnsi="仿宋_GB2312" w:cs="仿宋_GB2312" w:eastAsia="仿宋_GB2312"/>
        </w:rPr>
        <w:t>委托，拟对</w:t>
      </w:r>
      <w:r>
        <w:rPr>
          <w:rFonts w:ascii="仿宋_GB2312" w:hAnsi="仿宋_GB2312" w:cs="仿宋_GB2312" w:eastAsia="仿宋_GB2312"/>
        </w:rPr>
        <w:t>西安市临潼区穆寨街道2025年防汛应急抢险项目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SX-HTZY-20250008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西安市临潼区穆寨街道2025年防汛应急抢险项目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抗洪抢险支出、防汛抢险物资物料补充、灾害应急调查监测、防汛应急测报通信、抢险车辆设备租赁及运输抢险物资费用、搜救人员、排危除险等应急处置，用油、用电、交通、通讯等应急保障，抢修公共设施。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采购包1（西安市临潼区穆寨街道2025年防汛应急抢险项目）：属于专门面向中小企业采购。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1、有效的主体资格证明：供应商应是合法注册的法人或其他组织,并出具合法有效的营业执照、组织机构代码证、税务登记证（或统一社会信用代码的营业执照）；</w:t>
      </w:r>
    </w:p>
    <w:p>
      <w:pPr>
        <w:pStyle w:val="null3"/>
      </w:pPr>
      <w:r>
        <w:rPr>
          <w:rFonts w:ascii="仿宋_GB2312" w:hAnsi="仿宋_GB2312" w:cs="仿宋_GB2312" w:eastAsia="仿宋_GB2312"/>
        </w:rPr>
        <w:t>2、基本资格条件承诺函：根据《《西安市临潼区财政局关于扩大政府采购供应商基本资格条件承诺制试点工作范围的通知》临财函〔2025〕199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经审计的财务报告（至少包括审计报告、资产负债表和利润表，成立时间至磋商截止日前不足一年的可提供成立后任意时段的资产负债表）；或在磋商截止日前六个月内其开户银行出具的资信证明；②税收缴纳证明：提供磋商截止日前一年内已缴纳的至少一个月的纳税证明或完税证明，依法免税的单位应提供相关证明材料；③社会保障资金缴纳证明：提供磋商截止日前一年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提供参加政府采购活动前三年内在经营活动中没有重大违法记录的书面声明；⑥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3、法定代表人授权书：提供法定代表人授权书（附法定代表人、被授权人身份证复印件），法定代表人直接参加磋商，须提供法定代表人身份证明；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4、供应商资质要求：供应商应具备行政主管部门颁发的市政公用工程施工总承包三级以上(含三级)资质，同时具有合格有效的安全生产许可证；</w:t>
      </w:r>
    </w:p>
    <w:p>
      <w:pPr>
        <w:pStyle w:val="null3"/>
      </w:pPr>
      <w:r>
        <w:rPr>
          <w:rFonts w:ascii="仿宋_GB2312" w:hAnsi="仿宋_GB2312" w:cs="仿宋_GB2312" w:eastAsia="仿宋_GB2312"/>
        </w:rPr>
        <w:t>5、拟派项目经理资质和专业要求：拟派项目经理应具有市政公用工程二级及以上注册建造师执业资格，具有有效的安全生产考核合格证书（B 证），在本单位注册且无在建工程（提供无在建项目承诺书)；</w:t>
      </w:r>
    </w:p>
    <w:p>
      <w:pPr>
        <w:pStyle w:val="null3"/>
      </w:pPr>
      <w:r>
        <w:rPr>
          <w:rFonts w:ascii="仿宋_GB2312" w:hAnsi="仿宋_GB2312" w:cs="仿宋_GB2312" w:eastAsia="仿宋_GB2312"/>
        </w:rPr>
        <w:t>6、联合体：本项目不接受联合体投标（提供承诺书）。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西安市临潼区穆寨街道办事处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临潼区穆寨街道1号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029-83845003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陕西恒泰众业项目管理有限公司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陕西省西安市临潼区东风商务楼五楼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029-83855569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和国家发改委办公厅《关于招标代理服务收费有关问题的通知》（发改办价格〔2003〕857号）文件规定标准收取。由中标供应商一次性全额支付招标代理服务费。 户名：陕西恒泰众业项目管理有限公司 开户银行：中国银行股份有限公司陕西自贸试验区杨凌片区支行 账户号码：102096134814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西安市临潼区穆寨街道办事处</w:t>
      </w:r>
      <w:r>
        <w:rPr>
          <w:rFonts w:ascii="仿宋_GB2312" w:hAnsi="仿宋_GB2312" w:cs="仿宋_GB2312" w:eastAsia="仿宋_GB2312"/>
        </w:rPr>
        <w:t>和</w:t>
      </w:r>
      <w:r>
        <w:rPr>
          <w:rFonts w:ascii="仿宋_GB2312" w:hAnsi="仿宋_GB2312" w:cs="仿宋_GB2312" w:eastAsia="仿宋_GB2312"/>
        </w:rPr>
        <w:t>陕西恒泰众业项目管理有限公司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西安市临潼区穆寨街道办事处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陕西恒泰众业项目管理有限公司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西安市临潼区穆寨街道办事处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陕西恒泰众业项目管理有限公司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陕西恒泰众业项目管理有限公司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陕西恒泰众业项目管理有限公司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陕西恒泰众业项目管理有限公司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联系人：罗工</w:t>
      </w:r>
    </w:p>
    <w:p>
      <w:pPr>
        <w:pStyle w:val="null3"/>
      </w:pPr>
      <w:r>
        <w:rPr>
          <w:rFonts w:ascii="仿宋_GB2312" w:hAnsi="仿宋_GB2312" w:cs="仿宋_GB2312" w:eastAsia="仿宋_GB2312"/>
        </w:rPr>
        <w:t>联系电话：029-83855569</w:t>
      </w:r>
    </w:p>
    <w:p>
      <w:pPr>
        <w:pStyle w:val="null3"/>
      </w:pPr>
      <w:r>
        <w:rPr>
          <w:rFonts w:ascii="仿宋_GB2312" w:hAnsi="仿宋_GB2312" w:cs="仿宋_GB2312" w:eastAsia="仿宋_GB2312"/>
        </w:rPr>
        <w:t>地址：陕西省西安市临潼区东风商务楼五楼</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西安市临潼区穆寨街道2025年防汛应急抢险项目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标的名称：西安市临潼区穆寨街道2025年防汛应急抢险项目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抗洪抢险支出、防汛抢险物资物料补充、灾害应急调查监测、防汛应急测报通信、抢险车辆设备租赁及运输抢险物资费用、搜救人员、排危除险等应急处置，用油、用电、交通、通讯等应急保障，抢修公共设施。</w:t>
            </w:r>
            <w:r>
              <w:rPr>
                <w:rFonts w:ascii="仿宋_GB2312" w:hAnsi="仿宋_GB2312" w:cs="仿宋_GB2312" w:eastAsia="仿宋_GB2312"/>
                <w:sz w:val="24"/>
                <w:color w:val="333333"/>
              </w:rPr>
              <w:t>（具体详见电子招标书）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工期：自合同签订之日起10日历天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 提供2024年度经审计的财务报告（至少包括审计报告、资产负债表和利润表，成立时间至磋商截止日前不足一年的可提供成立后任意时段的资产负债表）；或在磋商截止日前六个月内其开户银行出具的资信证明；②根据《《西安市临潼区财政局关于扩大政府采购供应商基本资格条件承诺制试点工作范围的通知》临财函〔2025〕199号，供应商也可提供《基本资格条件承诺函》以替代财务报告，供应商应保证承诺的真实性，采购人可以在中标(成交)结果公告后、签订政府采购合同前，核实中标(成交)供应商所作信用承诺事项的真实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供应商应是合法注册的法人或其他组织,并出具合法有效的营业执照、组织机构代码证、税务登记证（或统一社会信用代码的营业执照）；</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扩大政府采购供应商基本资格条件承诺制试点工作范围的通知》临财函〔2025〕199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经审计的财务报告（至少包括审计报告、资产负债表和利润表，成立时间至磋商截止日前不足一年的可提供成立后任意时段的资产负债表）；或在磋商截止日前六个月内其开户银行出具的资信证明；②税收缴纳证明：提供磋商截止日前一年内已缴纳的至少一个月的纳税证明或完税证明，依法免税的单位应提供相关证明材料；③社会保障资金缴纳证明：提供磋商截止日前一年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提供参加政府采购活动前三年内在经营活动中没有重大违法记录的书面声明；⑥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供应商应具备行政主管部门颁发的市政公用工程施工总承包三级以上(含三级)资质，同时具有合格有效的安全生产许可证；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拟派项目经理应具有市政公用工程二级及以上注册建造师执业资格，具有有效的安全生产考核合格证书（B 证），在本单位注册且无在建工程（提供无在建项目承诺书)；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已标价工程量清单 中小企业声明函 施工组织设计.docx 供应商承诺书.docx 响应文件封面 项目管理机构组成表 供应商认为有必要提供的其他证明文件.docx 残疾人福利性单位声明函 报价函 标的清单 供应商类似项目业绩一览表 响应函 资格证明文件.pdf 主要人员简历表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应满足磋商文件中对工期的要求。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合理、可行、准确、完善、可操作性强，保证措施可靠计0-12分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全面、完整、周到、组织措施得力计0-6分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安全生产计划全面周到、完善、环节控制保障措施得力计0-6分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全面、完善、周到、环节控制保障措施得力计0-6分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合理、可行、准确、完整、可操作性强，保证措施可靠计0-6分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提供完善、合理、专业的团队人员，根据供应商提供人员的有效证件、业绩等证明材料计0-6分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拟投入的主要机具、设备充分、满足项目需要计0-6分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拟投入劳动力充分、满足项目需要计0-6分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提供2022年11月至今承接过类似的项目业绩，每提供一份得2分，最高得10分；没有提供不得分（业绩需提供项目中标通知书或施工合同盖章复印件）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根据供应商为保证工程质量所做的承诺及配套服务（包括但不限于具体的服务内容、响应时间、响应方式、响应计划、服务承诺等）进行综合比较计0-6分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磋商报价得分=(磋商基准价／磋商报价)×30%×100 计算分数时四舍五入取小数点后两位 注：因落实政府采购政策进行价格调整的，以调整后的价格计算评标基准价和磋商报价。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详见附件：供应商认为有必要提供的其他证明文件.docx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