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版本号：ZB2025-ZB024（CGB）20251213001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临潼区零口街办北牛村肉兔场至马北路道路建设项目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ZB2025-ZB024（CGB）</w:t>
      </w:r>
      <w:r>
        <w:br/>
      </w:r>
      <w:r>
        <w:br/>
      </w:r>
      <w:r>
        <w:br/>
      </w:r>
    </w:p>
    <w:p>
      <w:pPr>
        <w:pStyle w:val="null3"/>
        <w:jc w:val="center"/>
        <w:outlineLvl w:val="2"/>
      </w:pPr>
      <w:r>
        <w:rPr>
          <w:rFonts w:ascii="仿宋_GB2312" w:hAnsi="仿宋_GB2312" w:cs="仿宋_GB2312" w:eastAsia="仿宋_GB2312"/>
          <w:sz w:val="28"/>
          <w:b/>
        </w:rPr>
        <w:t>西安市临潼区零口街道办事处</w:t>
      </w:r>
    </w:p>
    <w:p>
      <w:pPr>
        <w:pStyle w:val="null3"/>
        <w:jc w:val="center"/>
        <w:outlineLvl w:val="2"/>
      </w:pPr>
      <w:r>
        <w:rPr>
          <w:rFonts w:ascii="仿宋_GB2312" w:hAnsi="仿宋_GB2312" w:cs="仿宋_GB2312" w:eastAsia="仿宋_GB2312"/>
          <w:sz w:val="28"/>
          <w:b/>
        </w:rPr>
        <w:t>西安梓搏咨询管理有限公司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西安梓搏咨询管理有限公司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西安市临潼区零口街道办事处</w:t>
      </w:r>
      <w:r>
        <w:rPr>
          <w:rFonts w:ascii="仿宋_GB2312" w:hAnsi="仿宋_GB2312" w:cs="仿宋_GB2312" w:eastAsia="仿宋_GB2312"/>
        </w:rPr>
        <w:t>委托，拟对</w:t>
      </w:r>
      <w:r>
        <w:rPr>
          <w:rFonts w:ascii="仿宋_GB2312" w:hAnsi="仿宋_GB2312" w:cs="仿宋_GB2312" w:eastAsia="仿宋_GB2312"/>
        </w:rPr>
        <w:t>临潼区零口街办北牛村肉兔场至马北路道路建设项目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ZB2025-ZB024（CGB）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临潼区零口街办北牛村肉兔场至马北路道路建设项目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新建道路460米，硬化路面宽4.2米，路面面积1932㎡；埋设双壁波纹排水管道D300的管道450米；新作挡土墙140米，高2.4米。具体施工内容见图纸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采购包1（临潼区零口街办北牛村肉兔场至马北路道路建设项目）：属于专门面向中小企业采购。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2、法人代表证明书或法人授权委托书：法人代表证明书或法人授权委托书，后附法人及被委托人身份证（法定代表人直接参加投标的只需提供法定代表人身份证）</w:t>
      </w:r>
    </w:p>
    <w:p>
      <w:pPr>
        <w:pStyle w:val="null3"/>
      </w:pPr>
      <w:r>
        <w:rPr>
          <w:rFonts w:ascii="仿宋_GB2312" w:hAnsi="仿宋_GB2312" w:cs="仿宋_GB2312" w:eastAsia="仿宋_GB2312"/>
        </w:rPr>
        <w:t>3、供应商资质要求：供应商须具备市政公用工程施工总承包三级及以上资质，具有有效的安全生产许可证</w:t>
      </w:r>
    </w:p>
    <w:p>
      <w:pPr>
        <w:pStyle w:val="null3"/>
      </w:pPr>
      <w:r>
        <w:rPr>
          <w:rFonts w:ascii="仿宋_GB2312" w:hAnsi="仿宋_GB2312" w:cs="仿宋_GB2312" w:eastAsia="仿宋_GB2312"/>
        </w:rPr>
        <w:t>4、项目经理资质要求：拟派项目经理须具备市政公用工程二级及以上注册建造师执业资格，具有安全生产考核合格证，且在本单位注册，无在建工程</w:t>
      </w:r>
    </w:p>
    <w:p>
      <w:pPr>
        <w:pStyle w:val="null3"/>
      </w:pPr>
      <w:r>
        <w:rPr>
          <w:rFonts w:ascii="仿宋_GB2312" w:hAnsi="仿宋_GB2312" w:cs="仿宋_GB2312" w:eastAsia="仿宋_GB2312"/>
        </w:rPr>
        <w:t>5、供应商基本资格条件承诺：根据临财函〔2025〕199号《西安市临潼区财政局关于开展政府采购供应商基本资格条件承诺制试点工作的通知》，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如未提供基本资格条件承诺函的，应当按照《中华人民共和国政府采购法》及其实施条例的相关规定提供相应的证明材料： ①财务状况报告：提供2024年经审计的财务审计报告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②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③无重大违法记录的书面声明：参加政府采购活动前三年内，在经营活动中没有重大违法记录的书面声明；④履行合同能力的承诺书：履行合同所必需的设备和专业技术能力的承诺书；⑤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6、直接控股、管理关系情况说明：单位负责人为同一人或者存在直接控股、管理关系的不同供应商，不得参加同一合同项下的投标活动</w:t>
      </w:r>
    </w:p>
    <w:p>
      <w:pPr>
        <w:pStyle w:val="null3"/>
      </w:pPr>
      <w:r>
        <w:rPr>
          <w:rFonts w:ascii="仿宋_GB2312" w:hAnsi="仿宋_GB2312" w:cs="仿宋_GB2312" w:eastAsia="仿宋_GB2312"/>
        </w:rPr>
        <w:t>7、落实政府采购政策需满足的资格要求：本项目为专门面向中小企业项目，供应商应为中型企业或小型、微型企业或监狱企业或残疾人福利性单位</w:t>
      </w:r>
    </w:p>
    <w:p>
      <w:pPr>
        <w:pStyle w:val="null3"/>
      </w:pPr>
      <w:r>
        <w:rPr>
          <w:rFonts w:ascii="仿宋_GB2312" w:hAnsi="仿宋_GB2312" w:cs="仿宋_GB2312" w:eastAsia="仿宋_GB2312"/>
        </w:rPr>
        <w:t>8、非联合体投标声明：本项目不接受联合体投标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西安市临潼区零口街道办事处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临潼区零口街道东头</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柳科长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15891788106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西安梓搏咨询管理有限公司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西安市临潼区环城东路东环路小区4号楼101室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029-83992983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领取中标通知书时，代理服务费参照计价格【2002】1980号及发改价格【2011】534号文件规定标准；工程量清单及招标控制价编制费率参照陕价行发【2014】88号取费标准计算，向“西安梓搏咨询管理有限公司”交纳。户 名：西安梓搏咨询管理有限公司 开户行：工商银行西安临潼区支行 账 号：3700 1733 092 0000 1856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西安市临潼区零口街道办事处</w:t>
      </w:r>
      <w:r>
        <w:rPr>
          <w:rFonts w:ascii="仿宋_GB2312" w:hAnsi="仿宋_GB2312" w:cs="仿宋_GB2312" w:eastAsia="仿宋_GB2312"/>
        </w:rPr>
        <w:t>和</w:t>
      </w:r>
      <w:r>
        <w:rPr>
          <w:rFonts w:ascii="仿宋_GB2312" w:hAnsi="仿宋_GB2312" w:cs="仿宋_GB2312" w:eastAsia="仿宋_GB2312"/>
        </w:rPr>
        <w:t>西安梓搏咨询管理有限公司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西安市临潼区零口街道办事处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西安梓搏咨询管理有限公司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西安市临潼区零口街道办事处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西安梓搏咨询管理有限公司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联系人：马工</w:t>
      </w:r>
    </w:p>
    <w:p>
      <w:pPr>
        <w:pStyle w:val="null3"/>
      </w:pPr>
      <w:r>
        <w:rPr>
          <w:rFonts w:ascii="仿宋_GB2312" w:hAnsi="仿宋_GB2312" w:cs="仿宋_GB2312" w:eastAsia="仿宋_GB2312"/>
        </w:rPr>
        <w:t>联系电话：029-83992983</w:t>
      </w:r>
    </w:p>
    <w:p>
      <w:pPr>
        <w:pStyle w:val="null3"/>
      </w:pPr>
      <w:r>
        <w:rPr>
          <w:rFonts w:ascii="仿宋_GB2312" w:hAnsi="仿宋_GB2312" w:cs="仿宋_GB2312" w:eastAsia="仿宋_GB2312"/>
        </w:rPr>
        <w:t>地址：西安市临潼区环城东路东环路小区4号楼101室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临潼区零口街办北牛村肉兔场至马北路道路建设项目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标的名称：临潼区零口街办北牛村肉兔场至马北路道路建设项目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工程内容：</w:t>
            </w:r>
            <w:r>
              <w:rPr>
                <w:rFonts w:ascii="仿宋_GB2312" w:hAnsi="仿宋_GB2312" w:cs="仿宋_GB2312" w:eastAsia="仿宋_GB2312"/>
                <w:sz w:val="24"/>
                <w:color w:val="000000"/>
              </w:rPr>
              <w:t>新建道路</w:t>
            </w:r>
            <w:r>
              <w:rPr>
                <w:rFonts w:ascii="仿宋_GB2312" w:hAnsi="仿宋_GB2312" w:cs="仿宋_GB2312" w:eastAsia="仿宋_GB2312"/>
                <w:sz w:val="24"/>
                <w:color w:val="000000"/>
              </w:rPr>
              <w:t>460米，硬化路面宽4.2米，路面面积1932m2；埋设双壁波纹排水管道D300的管道450米；新作挡土墙140米，高2.4米。具体施工内容见图纸</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工程地点：</w:t>
            </w:r>
            <w:r>
              <w:rPr>
                <w:rFonts w:ascii="仿宋_GB2312" w:hAnsi="仿宋_GB2312" w:cs="仿宋_GB2312" w:eastAsia="仿宋_GB2312"/>
                <w:sz w:val="24"/>
              </w:rPr>
              <w:t>临潼区零口街办北牛村</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color w:val="000000"/>
              </w:rPr>
              <w:t>计划工期</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日历</w:t>
            </w:r>
            <w:r>
              <w:rPr>
                <w:rFonts w:ascii="仿宋_GB2312" w:hAnsi="仿宋_GB2312" w:cs="仿宋_GB2312" w:eastAsia="仿宋_GB2312"/>
                <w:sz w:val="24"/>
                <w:color w:val="000000"/>
              </w:rPr>
              <w:t>天</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（1）质量要求：合格。</w:t>
            </w:r>
          </w:p>
          <w:p>
            <w:pPr>
              <w:pStyle w:val="null3"/>
            </w:pPr>
            <w:r>
              <w:rPr>
                <w:rFonts w:ascii="仿宋_GB2312" w:hAnsi="仿宋_GB2312" w:cs="仿宋_GB2312" w:eastAsia="仿宋_GB2312"/>
                <w:sz w:val="24"/>
                <w:color w:val="000000"/>
              </w:rPr>
              <w:t>（2）验收方法：验收应按建筑工程适用的规范或标准及其他相关的规范和标准执行。</w:t>
            </w:r>
          </w:p>
          <w:p>
            <w:pPr>
              <w:pStyle w:val="null3"/>
              <w:jc w:val="left"/>
            </w:pPr>
            <w:r>
              <w:rPr>
                <w:rFonts w:ascii="仿宋_GB2312" w:hAnsi="仿宋_GB2312" w:cs="仿宋_GB2312" w:eastAsia="仿宋_GB2312"/>
                <w:sz w:val="24"/>
                <w:color w:val="000000"/>
              </w:rPr>
              <w:t>（3）依据设计文件要求：本招标工程项目的材料、设备、施工必须达到现行中华人民共和国及省、市、行业的一切有关工程建设标准、法规、规范的最新要求。</w:t>
            </w:r>
          </w:p>
          <w:p>
            <w:pPr>
              <w:pStyle w:val="null3"/>
            </w:pPr>
            <w:r>
              <w:rPr>
                <w:rFonts w:ascii="仿宋_GB2312" w:hAnsi="仿宋_GB2312" w:cs="仿宋_GB2312" w:eastAsia="仿宋_GB2312"/>
                <w:sz w:val="24"/>
                <w:color w:val="000000"/>
              </w:rPr>
              <w:t>（4）根据工程设计要求，该项工程项目的材料、施工除必须达到以上标准外，还应满足设计要求和甲方在招标文件中的有关要求。</w:t>
            </w:r>
          </w:p>
          <w:p>
            <w:pPr>
              <w:pStyle w:val="null3"/>
            </w:pPr>
            <w:r>
              <w:rPr>
                <w:rFonts w:ascii="仿宋_GB2312" w:hAnsi="仿宋_GB2312" w:cs="仿宋_GB2312" w:eastAsia="仿宋_GB2312"/>
                <w:sz w:val="24"/>
                <w:color w:val="000000"/>
              </w:rPr>
              <w:t>（5）本工程所有主要材料必须符合设计要求及国家有关规定，有出厂合格证，经质检部门检验合格。</w:t>
            </w:r>
          </w:p>
          <w:p>
            <w:pPr>
              <w:pStyle w:val="null3"/>
            </w:pPr>
            <w:r>
              <w:rPr>
                <w:rFonts w:ascii="仿宋_GB2312" w:hAnsi="仿宋_GB2312" w:cs="仿宋_GB2312" w:eastAsia="仿宋_GB2312"/>
                <w:sz w:val="24"/>
                <w:color w:val="000000"/>
              </w:rPr>
              <w:t>（6）未尽的工程质量技术要求均按现行国家、省、市有关最新规范和标准执行。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根据临财函〔2025〕199号《西安市临潼区财政局关于开展政府采购供应商基本资格条件承诺制试点工作的通知》，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如未提供基本资格条件承诺函的，应当按照《中华人民共和国政府采购法》及其实施条例的相关规定提供相应的证明材料： ①财务状况报告：提供2024年经审计的财务审计报告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供应商资格证明资料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供应商须具备市政公用工程施工总承包三级及以上资质，具有有效的安全生产许可证</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拟派项目经理须具备市政公用工程二级及以上注册建造师执业资格，具有安全生产考核合格证，且在本单位注册，无在建工程</w:t>
            </w:r>
          </w:p>
        </w:tc>
        <w:tc>
          <w:tcPr>
            <w:tcW w:type="dxa" w:w="1661"/>
          </w:tcPr>
          <w:p>
            <w:pPr>
              <w:pStyle w:val="null3"/>
            </w:pPr>
            <w:r>
              <w:rPr>
                <w:rFonts w:ascii="仿宋_GB2312" w:hAnsi="仿宋_GB2312" w:cs="仿宋_GB2312" w:eastAsia="仿宋_GB2312"/>
              </w:rPr>
              <w:t>施工组织设计 供应商资格证明资料 项目管理机构组成表 技术服务合同条款及其他商务要求应答表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供应商基本资格条件承诺</w:t>
            </w:r>
          </w:p>
        </w:tc>
        <w:tc>
          <w:tcPr>
            <w:tcW w:type="dxa" w:w="3322"/>
          </w:tcPr>
          <w:p>
            <w:pPr>
              <w:pStyle w:val="null3"/>
            </w:pPr>
            <w:r>
              <w:rPr>
                <w:rFonts w:ascii="仿宋_GB2312" w:hAnsi="仿宋_GB2312" w:cs="仿宋_GB2312" w:eastAsia="仿宋_GB2312"/>
              </w:rPr>
              <w:t>根据临财函〔2025〕199号《西安市临潼区财政局关于开展政府采购供应商基本资格条件承诺制试点工作的通知》，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如未提供基本资格条件承诺函的，应当按照《中华人民共和国政府采购法》及其实施条例的相关规定提供相应的证明材料： ①财务状况报告：提供2024年经审计的财务审计报告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②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③无重大违法记录的书面声明：参加政府采购活动前三年内，在经营活动中没有重大违法记录的书面声明；④履行合同能力的承诺书：履行合同所必需的设备和专业技术能力的承诺书；⑤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直接控股、管理关系情况说明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供应商资格证明资料 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施工组织设计 供应商资格证明资料 中小企业声明函 技术服务合同条款及其他商务要求应答表 响应文件封面 项目管理机构组成表 残疾人福利性单位声明函 报价函 标的清单 供应商类似项目业绩一览表 供应商承诺书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工期、质量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施工组织设计 报价函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只能有一个有效报价，不得提交选择性报价，且报价不超出相对应标段最高限价金额。</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方案专门针对本项目编制，符合项目实际情况及实施要求，内容详尽且涵盖角度全面，合理性和可行性强，能够保障项目顺利实施的，得8-10分; 方案专门针对本项目编制， 符合项目实际情况及实施要求，内容详尽且涵盖角度基本全面，有一定的合理性和可行性的，得3-8分;方案专门针对本项目编制，基本符合项目实际情况及实施要求，但方案涵盖角度不全面且实施有难度的，得 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措施内容专门针对本项目编制，符合项目实际情况及实施要求，内容详尽且涵盖角度全面，合理性和可行性强，能够保障项目顺利实施的，得4-6分; 措施内容专门针对本项目编制，符合项目实际情况及实施要求，内容详尽且涵盖角度基本全面，有一定的合理性和可行性的，得2-4分; 措施内容专门针对本项目编制，基本符合项目实际情况及实施要求，但涵盖角度不全面且实施有难度的，得0-2分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措施内容专门针对本项目编制，符合项目实际情况及实施要求，内容详尽且涵盖角度全面，合理性和可行性强，能够保障项目顺利实施的，得4-5分; 措施内容专门针对本项目编制，符合项目实际情况及实施要求，内容详尽且涵盖角度基本全面，有一定的合理性和可行性的，得2-4分; 措施内容专门针对本项目编制，基本符合项目实际情况及实施要求，但涵盖角度不全面且实施有难度的，得0-2分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措施内容专门针对本项目编制，符合项目实际情况及实施要求，内容详尽且涵盖角度全面，合理性和可行性强，能够保障项目顺利实施的，得4-6分; 措施内容专门针对本项目编制，符合项目实际情况及实施要求，内容详尽且涵盖角度基本全面，有一定的合理性和可行性的，得2-4分; 措施内容专门针对本项目编制，基本符合项目实际情况及实施要求，但涵盖角度不全面且实施有难度的，得0-2分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措施内容专门针对本项目编制，符合项目实际情况及实施要求，内容详尽且涵盖角度全面，合理性和可行性强，能够保障项目顺利实施的，得4-6分; 措施内容专门针对本项目编制，符合项目实际情况及实施要求，内容详尽且涵盖角度基本全面，有一定的合理性和可行性的，得2-4分; 措施内容专门针对本项目编制，基本符合项目实际情况及实施要求，但涵盖角度不全面且实施有难度的，得0-2分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投入计划专门针对本项目编制，符合项目实际情况及实施要求，内容详尽且涵盖角度全面，合理性和可行性强，能够保障项目顺利实施的，得4-6分; 投入计划专门针对本项目编制，符合项目实际情况及实施要求，内容详尽且涵盖角度基本全面，有一定的合理性和可行性的，得2-4分; 投入计划专门针对本项目编制，基本符合项目实际情况及实施要求，但涵盖角度不全面且实施有难度的，得0-2分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安排计划科学全面、措施详细具体、针对性强计4-5分；安排计划科学全面、措施详细具体、针对性较强计2-4分；安排计划内容简单笼统计0-2分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 4-5分；项目部组成科学合理、人员表配置齐全，有详细的人员配置清单，有一定的针对性，满足项目需求，得2-4分；项目部组成人员缺乏科学合理性，无人员配置清单，无法满足项目需求，得0-2分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供应商资格证明资料</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措施内容专门针对本项目编制，符合项目实际情况及实施要求，内容详尽且涵盖角度全面，合理性和可行性强，能够保障项目顺利实施的，得4-5分; 措施内容专门针对本项目编制，符合项目实际情况及实施要求，内容详尽且涵盖角度基本全面，有一定的合理性和可行性的，得 2-4分; 措施内容专门针对本项目编制，基本符合项目实际情况及实施要求，但涵盖角度不全面且实施有难度的，得0-2分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新技术、新产品、 新工艺、新材料应用</w:t>
            </w:r>
          </w:p>
        </w:tc>
        <w:tc>
          <w:tcPr>
            <w:tcW w:type="dxa" w:w="2492"/>
          </w:tcPr>
          <w:p>
            <w:pPr>
              <w:pStyle w:val="null3"/>
            </w:pPr>
            <w:r>
              <w:rPr>
                <w:rFonts w:ascii="仿宋_GB2312" w:hAnsi="仿宋_GB2312" w:cs="仿宋_GB2312" w:eastAsia="仿宋_GB2312"/>
              </w:rPr>
              <w:t>应用的技术、产品、工艺、材料等先进科学、可行性高计4-5分； 应用的技术、产品、工艺、材料等先进科学、可行性较高计2-4分；应用的技术、产品、工艺、材料等科学性描述脱离实际计0-2分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承诺方案专门针对本项目编制，符合项目实际情况及实施要求，内容详尽且涵盖角度全面，合理性和可行性强，保障充分，得4-5分; 承诺方案专门针对本项目编制，符合项目实际情况及实施要求，内容详尽且涵盖角度基本全面，有一定的合理性和可行性的，得2-4分; 承诺方案专门针对本项目编制，基本符合项目实际情况及实施要求，但涵盖角度不全面且实施有难度的，得0-2分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提供（2022年6月1日至今）类似业绩（以合同协议书或中标通知书为准），每提供一份业绩得2分，最高不超过6分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采用低价优先法计算，即满足磋商文件要求且报价最低的投标报价为评审基准价，其价格分为满分。 投标报价得分＝（评审基准价/投标报价）×30 评标委员会三分之二以上专家认为某投标报价有低于成本价嫌疑的，为无效投标报价。 注：各供应商的在多次报价中应逐次降价，本次报价超过上次报价的，为无效报价，取消其磋商资格。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详见附件：供应商资格证明资料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