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版本号：HYDZB2025049.1B120251215001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2025年耕地建设与利用资金化肥减量增效项目飞防服务(二次)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HYDZB2025049.1B1</w:t>
      </w:r>
      <w:r>
        <w:br/>
      </w:r>
      <w:r>
        <w:br/>
      </w:r>
      <w:r>
        <w:br/>
      </w:r>
    </w:p>
    <w:p>
      <w:pPr>
        <w:pStyle w:val="null3"/>
        <w:jc w:val="center"/>
        <w:outlineLvl w:val="2"/>
      </w:pPr>
      <w:r>
        <w:rPr>
          <w:rFonts w:ascii="仿宋_GB2312" w:hAnsi="仿宋_GB2312" w:cs="仿宋_GB2312" w:eastAsia="仿宋_GB2312"/>
          <w:sz w:val="28"/>
          <w:b/>
        </w:rPr>
        <w:t>西安市临潼区农技推广服务中心</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西安市临潼区农技推广服务中心</w:t>
      </w:r>
      <w:r>
        <w:rPr>
          <w:rFonts w:ascii="仿宋_GB2312" w:hAnsi="仿宋_GB2312" w:cs="仿宋_GB2312" w:eastAsia="仿宋_GB2312"/>
        </w:rPr>
        <w:t>委托，拟对</w:t>
      </w:r>
      <w:r>
        <w:rPr>
          <w:rFonts w:ascii="仿宋_GB2312" w:hAnsi="仿宋_GB2312" w:cs="仿宋_GB2312" w:eastAsia="仿宋_GB2312"/>
        </w:rPr>
        <w:t>2025年耕地建设与利用资金化肥减量增效项目飞防服务(二次)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HYDZB2025049.1B1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2025年耕地建设与利用资金化肥减量增效项目飞防服务(二次)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2025年耕地建设与利用资金化肥减量增效，通过高效植保机械、无人机等新型农机具服务方式实施。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采购包1（2025年耕地建设与利用资金化肥减量增效项目飞防服务）：属于专门面向中小企业采购。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2、法人代表证明书或法人授权委托书：法人代表证明书或法人授权委托书，后附法人及被委托人身份证（法定代表人直接参加磋商的只需提供法定代表人身份证明及身份证）；</w:t>
      </w:r>
    </w:p>
    <w:p>
      <w:pPr>
        <w:pStyle w:val="null3"/>
      </w:pPr>
      <w:r>
        <w:rPr>
          <w:rFonts w:ascii="仿宋_GB2312" w:hAnsi="仿宋_GB2312" w:cs="仿宋_GB2312" w:eastAsia="仿宋_GB2312"/>
        </w:rPr>
        <w:t>3、供应商资质：供应商须具有《通用航空企业经营许可证》或《民用无人驾驶航空器运营合格证》，相关作业人员具有《植保无人机系统操作手合格证》；</w:t>
      </w:r>
    </w:p>
    <w:p>
      <w:pPr>
        <w:pStyle w:val="null3"/>
      </w:pPr>
      <w:r>
        <w:rPr>
          <w:rFonts w:ascii="仿宋_GB2312" w:hAnsi="仿宋_GB2312" w:cs="仿宋_GB2312" w:eastAsia="仿宋_GB2312"/>
        </w:rPr>
        <w:t>4、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p>
      <w:pPr>
        <w:pStyle w:val="null3"/>
      </w:pPr>
      <w:r>
        <w:rPr>
          <w:rFonts w:ascii="仿宋_GB2312" w:hAnsi="仿宋_GB2312" w:cs="仿宋_GB2312" w:eastAsia="仿宋_GB2312"/>
        </w:rPr>
        <w:t>5、非联合体投标：本项目不接受联合体投标；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西安市临潼区农技推广服务中心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临潼区银桥大道90号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临潼区农技推广服务中心经办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13809193699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陕西省西安市临潼区秦陵南路20号二楼202室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号）规定的费率标准计算招标代理服务费，不足伍仟元时按伍仟元计取。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西安市临潼区农技推广服务中心</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西安市临潼区农技推广服务中心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西安市临潼区农技推广服务中心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满足国家、省市相关规范及采购人要求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联系人：邓钰春</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地址：陕西省西安市临潼区秦陵南路20号二楼202室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2025年耕地建设与利用资金化肥减量增效，通过高效植保机械、无人机等新型农机具服务方式实施。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飞防服务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标的名称：飞防服务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left"/>
            </w:pPr>
            <w:r>
              <w:rPr>
                <w:rFonts w:ascii="仿宋_GB2312" w:hAnsi="仿宋_GB2312" w:cs="仿宋_GB2312" w:eastAsia="仿宋_GB2312"/>
                <w:sz w:val="24"/>
                <w:b/>
                <w:color w:val="000000"/>
              </w:rPr>
              <w:t>采购内容及技术要求</w:t>
            </w:r>
          </w:p>
          <w:p>
            <w:pPr>
              <w:pStyle w:val="null3"/>
              <w:ind w:firstLine="480"/>
              <w:jc w:val="left"/>
            </w:pPr>
            <w:r>
              <w:rPr>
                <w:rFonts w:ascii="仿宋_GB2312" w:hAnsi="仿宋_GB2312" w:cs="仿宋_GB2312" w:eastAsia="仿宋_GB2312"/>
                <w:sz w:val="24"/>
                <w:color w:val="000000"/>
              </w:rPr>
              <w:t>1、采购内容：防控作业3万亩。</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作业区域：</w:t>
            </w:r>
            <w:r>
              <w:rPr>
                <w:rFonts w:ascii="仿宋_GB2312" w:hAnsi="仿宋_GB2312" w:cs="仿宋_GB2312" w:eastAsia="仿宋_GB2312"/>
                <w:sz w:val="24"/>
                <w:color w:val="000000"/>
              </w:rPr>
              <w:t>临潼区境内，</w:t>
            </w:r>
            <w:r>
              <w:rPr>
                <w:rFonts w:ascii="仿宋_GB2312" w:hAnsi="仿宋_GB2312" w:cs="仿宋_GB2312" w:eastAsia="仿宋_GB2312"/>
                <w:sz w:val="24"/>
                <w:color w:val="000000"/>
              </w:rPr>
              <w:t>10个千亩示范片和2个万亩示范片，合计3万亩。</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作业方式：采用植保无人机喷防。</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防治效果：综合防治效果达到</w:t>
            </w:r>
            <w:r>
              <w:rPr>
                <w:rFonts w:ascii="仿宋_GB2312" w:hAnsi="仿宋_GB2312" w:cs="仿宋_GB2312" w:eastAsia="仿宋_GB2312"/>
                <w:sz w:val="24"/>
                <w:color w:val="000000"/>
              </w:rPr>
              <w:t>85%以上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相关作业人员具有《植保无人机系统操作手合格证》用药规范，保证作业人员按配方科学配药、机手按作业要求实施作业</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项目组织团队至少配备</w:t>
            </w:r>
            <w:r>
              <w:rPr>
                <w:rFonts w:ascii="仿宋_GB2312" w:hAnsi="仿宋_GB2312" w:cs="仿宋_GB2312" w:eastAsia="仿宋_GB2312"/>
                <w:sz w:val="24"/>
                <w:color w:val="000000"/>
              </w:rPr>
              <w:t>15名具有《植保无人机系统操作手合格证》的操作员</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配备不少于</w:t>
            </w:r>
            <w:r>
              <w:rPr>
                <w:rFonts w:ascii="仿宋_GB2312" w:hAnsi="仿宋_GB2312" w:cs="仿宋_GB2312" w:eastAsia="仿宋_GB2312"/>
                <w:sz w:val="24"/>
                <w:color w:val="000000"/>
              </w:rPr>
              <w:t>15</w:t>
            </w:r>
            <w:r>
              <w:rPr>
                <w:rFonts w:ascii="仿宋_GB2312" w:hAnsi="仿宋_GB2312" w:cs="仿宋_GB2312" w:eastAsia="仿宋_GB2312"/>
                <w:sz w:val="24"/>
                <w:color w:val="000000"/>
              </w:rPr>
              <w:t>驾植保无人机，保证作业时间内可同时使用得植保无人机不少于</w:t>
            </w:r>
            <w:r>
              <w:rPr>
                <w:rFonts w:ascii="仿宋_GB2312" w:hAnsi="仿宋_GB2312" w:cs="仿宋_GB2312" w:eastAsia="仿宋_GB2312"/>
                <w:sz w:val="24"/>
                <w:color w:val="000000"/>
              </w:rPr>
              <w:t>15驾。</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每亩喷施肥</w:t>
            </w:r>
            <w:r>
              <w:rPr>
                <w:rFonts w:ascii="仿宋_GB2312" w:hAnsi="仿宋_GB2312" w:cs="仿宋_GB2312" w:eastAsia="仿宋_GB2312"/>
                <w:sz w:val="24"/>
                <w:color w:val="000000"/>
              </w:rPr>
              <w:t>水</w:t>
            </w:r>
            <w:r>
              <w:rPr>
                <w:rFonts w:ascii="仿宋_GB2312" w:hAnsi="仿宋_GB2312" w:cs="仿宋_GB2312" w:eastAsia="仿宋_GB2312"/>
                <w:sz w:val="24"/>
                <w:color w:val="000000"/>
              </w:rPr>
              <w:t>3L,无</w:t>
            </w:r>
            <w:r>
              <w:rPr>
                <w:rFonts w:ascii="仿宋_GB2312" w:hAnsi="仿宋_GB2312" w:cs="仿宋_GB2312" w:eastAsia="仿宋_GB2312"/>
                <w:sz w:val="24"/>
                <w:color w:val="000000"/>
              </w:rPr>
              <w:t>人机飞行高度应控制在</w:t>
            </w:r>
            <w:r>
              <w:rPr>
                <w:rFonts w:ascii="仿宋_GB2312" w:hAnsi="仿宋_GB2312" w:cs="仿宋_GB2312" w:eastAsia="仿宋_GB2312"/>
                <w:sz w:val="24"/>
                <w:color w:val="000000"/>
              </w:rPr>
              <w:t>2-4米之间，飞行速度为3-5米/秒。</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拟派人员数量、专业配置、技术经验应完全满足项目的需要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设施设备应完全满足项目的需求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2026年4月-6月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符合国家标准及国家行政部门颁布的法律法规、规章制度等。采购人依据以上要求及采购文件、供应商的投标文件进行验收。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合同签订后，由供应商出具相关票据给采购人，采购人在完成报账程序后支付服务费用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服务结束后，经采购人邀请相关部门验收合格后，由供应商出其相关票据给采购人，采购人在完成报账程序后支付服务费用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文件正本壹份、副本贰份、电子版文件壹份（以U盘形式提供，电子版文件应包电子交易系统生成的文件、word版本投标文件等内容）。响应文件应放入文件袋内密封，袋上标明供应商名称并加盖公章。线下纸质文件递交截止时间同在线递交电子响应文件截止时间一致。线下纸质文件递交地点：西安市临潼区秦陵南路20号新华书店2楼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法人代表证明书或法人授权委托书，后附法人及被委托人身份证（法定代表人直接参加磋商的只需提供法定代表人身份证明及身份证）；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供应商须具有《通用航空企业经营许可证》或《民用无人驾驶航空器运营合格证》，相关作业人员具有《植保无人机系统操作手合格证》；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资格证明文件: ①财务状况报告：提供具有财务审计资质单位出具的2024年度的财务审计报告（成立时间不到一年的可提供成立后任意时段的资产负债表）或响应文件递截止时间前六个月内其基本账户银行出具的资信证明（附基本账户证明）或政府采购信用担保机构出具的磋商担保函；②税收缴纳证明：提供投标截止日前6个月内已缴纳的至少一个月的纳税证明或完税证明，依法免税的单位应提供相关证明材料；③、社会保障资金缴纳证明：提供投标截止日前6个月内已缴存的至少一个月的社会保障资金缴存单据或社保机构开具的社会保险参保缴费情况证明，依法不需要缴纳社会保障资金的单位应提供相关证明材料；④提供具有履行本合同所必需的设备和专业技术能力的说明及承诺；⑤参加政府采购活动前3年内经营活动中无重大违法记录声明；⑥ 供应商未被“信用中国”网站(www.sr&amp;mtchin8.gov.&amp;)列入失信被执行人和重大税收违法失信主体，未被中国政府采购网(www.cc.gov.sn)列入政府采购严重违法失信行为记录名单；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商务应答表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投标报价是否唯一，是否超过磋商文件中规定的采购预算或最高限价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响应文件封面 服务内容及服务邀请应答表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响应文件封面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供应商针对本项目的总体服务方案，包括但不限于①项目需求理解；②服务计划；③作业进度；④作业质量；⑤重点部位作业方法；⑥增效作业专业技术力量。 二、赋分标准(满分18分) 整体服务方案内容完善、全面合理、架构完整、层次清楚、具有针对性和可实施性，得18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人员配备方案1</w:t>
            </w:r>
          </w:p>
        </w:tc>
        <w:tc>
          <w:tcPr>
            <w:tcW w:type="dxa" w:w="2492"/>
          </w:tcPr>
          <w:p>
            <w:pPr>
              <w:pStyle w:val="null3"/>
            </w:pPr>
            <w:r>
              <w:rPr>
                <w:rFonts w:ascii="仿宋_GB2312" w:hAnsi="仿宋_GB2312" w:cs="仿宋_GB2312" w:eastAsia="仿宋_GB2312"/>
              </w:rPr>
              <w:t>一、评审内容：供应商针对本项目提供详细的人员配备方案包括但不限于①人员数量、分工、从业经验等；②岗位配备及职责；③人员培训（岗前培训、安全培训、定期培训）。 二、赋分标准：（满分9分） 方案内容完善、全面合理、架构完整、层次清楚、具有针对性和可实施性，得9分，缺失1项扣3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人员配备方案2</w:t>
            </w:r>
          </w:p>
        </w:tc>
        <w:tc>
          <w:tcPr>
            <w:tcW w:type="dxa" w:w="2492"/>
          </w:tcPr>
          <w:p>
            <w:pPr>
              <w:pStyle w:val="null3"/>
            </w:pPr>
            <w:r>
              <w:rPr>
                <w:rFonts w:ascii="仿宋_GB2312" w:hAnsi="仿宋_GB2312" w:cs="仿宋_GB2312" w:eastAsia="仿宋_GB2312"/>
              </w:rPr>
              <w:t>具备植保无人机系统操作手合格证的飞手不少于15人，(以植保无人机系统操作手合格证为准)每增加一人得1分，最高得3分。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具备开展航化作业植保无人机，不少于15驾（需提供购机合同/购机发票/付款凭证/租赁合同或其他相关证明材料），每增加一驾得1分，最高得3分。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供应商针对本项目制定的质量保障方案，包括但不限于①服务质量保障体系；②防治效果质量保障；③技术组织保障措施； 赋分标准(12分): 整体方案内容完善、全面合理、架构完整、层次清楚、具有针对性和可实施性，得12分，缺失1项扣4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供应商针对本项目制定的应急方案，包括但不限于①在作业过程中出现突发问题的应急处置方案;②应急响应时间:③出现突发状况应急人员安排。 赋分标准(12分): 整体方案内容完善、全面合理、架构完整、层次清楚、具有针对性和可实施性，得12分，缺失1项扣4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 供应商针对本项目制定的安全保障方案，包括但不限于①在作业过程中人员安全保障措施;②作业环境安全防范;③药剂、肥料的使用安全保障。 二、赋分标准(12分): 整体方案内容完善、全面合理、架构完整、层次清楚、具有针对性和可实施性，得12分，缺失1项扣4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供应商针对本项目的服务承诺包括但不限于：①防治效果的检验②出现特殊情况的后期补防③项目交付后出现缺陷的响应时间及措施。 二、赋分标准(12分): 承诺内容完善、全面合理、架构完整、层次清楚、具有针对性和可实施性，得12分，缺失1项扣4分。每项中每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提供2021年1月1日至响应文件递交截止日前已完成的类似业绩（提供合同复印件或中标通知书并加盖公章，时间以合同签订日期或中标通知书日期为准）。每份计3分，计满9分为止。不能提供的不得分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 即满足磋商文件要求且最终报价最低的磋商评审价为磋商基准价， 其价格分为满分。其他供应商的价格分统一按照下列公式计算： 有效 报价得分=（磋商基准价/磋商评审 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